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800" w:lineRule="exact"/>
        <w:jc w:val="center"/>
        <w:rPr>
          <w:rFonts w:ascii="黑体" w:hAnsi="黑体" w:eastAsia="黑体" w:cs="黑体"/>
          <w:spacing w:val="-23"/>
          <w:sz w:val="44"/>
          <w:szCs w:val="44"/>
        </w:rPr>
      </w:pPr>
    </w:p>
    <w:p>
      <w:pPr>
        <w:widowControl w:val="0"/>
        <w:spacing w:line="800" w:lineRule="exact"/>
        <w:jc w:val="center"/>
        <w:rPr>
          <w:rFonts w:ascii="黑体" w:hAnsi="黑体" w:eastAsia="黑体" w:cs="黑体"/>
          <w:spacing w:val="-23"/>
          <w:sz w:val="44"/>
          <w:szCs w:val="44"/>
        </w:rPr>
      </w:pPr>
      <w:r>
        <w:rPr>
          <w:rFonts w:hint="eastAsia" w:ascii="黑体" w:hAnsi="黑体" w:eastAsia="黑体" w:cs="黑体"/>
          <w:spacing w:val="-23"/>
          <w:sz w:val="44"/>
          <w:szCs w:val="44"/>
        </w:rPr>
        <w:t>岳阳城陵矶港务有限责任公司</w:t>
      </w:r>
    </w:p>
    <w:p>
      <w:pPr>
        <w:widowControl w:val="0"/>
        <w:spacing w:line="800" w:lineRule="exact"/>
        <w:jc w:val="center"/>
        <w:rPr>
          <w:rFonts w:hint="eastAsia" w:ascii="黑体" w:hAnsi="黑体" w:eastAsia="黑体" w:cs="黑体"/>
          <w:spacing w:val="-23"/>
          <w:sz w:val="44"/>
          <w:szCs w:val="44"/>
          <w:lang w:val="en-US" w:eastAsia="zh-CN"/>
        </w:rPr>
      </w:pPr>
      <w:r>
        <w:rPr>
          <w:rFonts w:hint="eastAsia" w:ascii="黑体" w:hAnsi="黑体" w:eastAsia="黑体" w:cs="黑体"/>
          <w:spacing w:val="-23"/>
          <w:sz w:val="44"/>
          <w:szCs w:val="44"/>
        </w:rPr>
        <w:t>2023年</w:t>
      </w:r>
      <w:r>
        <w:rPr>
          <w:rFonts w:hint="eastAsia" w:ascii="黑体" w:hAnsi="黑体" w:eastAsia="黑体" w:cs="黑体"/>
          <w:spacing w:val="-23"/>
          <w:sz w:val="44"/>
          <w:szCs w:val="44"/>
          <w:lang w:val="en-US" w:eastAsia="zh-CN"/>
        </w:rPr>
        <w:t>铁运公司连接员劳务外包</w:t>
      </w:r>
    </w:p>
    <w:p>
      <w:pPr>
        <w:pStyle w:val="37"/>
        <w:spacing w:line="800" w:lineRule="exact"/>
        <w:ind w:firstLine="0"/>
      </w:pPr>
    </w:p>
    <w:p>
      <w:pPr>
        <w:pStyle w:val="37"/>
        <w:ind w:firstLine="0"/>
      </w:pPr>
    </w:p>
    <w:p>
      <w:pPr>
        <w:snapToGrid w:val="0"/>
        <w:spacing w:line="900" w:lineRule="exact"/>
        <w:jc w:val="center"/>
        <w:rPr>
          <w:rFonts w:ascii="黑体" w:hAnsi="黑体" w:eastAsia="黑体" w:cs="宋体"/>
          <w:b/>
          <w:kern w:val="0"/>
          <w:sz w:val="72"/>
          <w:szCs w:val="72"/>
        </w:rPr>
      </w:pPr>
      <w:r>
        <w:rPr>
          <w:rFonts w:hint="eastAsia" w:ascii="黑体" w:hAnsi="黑体" w:eastAsia="黑体" w:cs="宋体"/>
          <w:b/>
          <w:kern w:val="0"/>
          <w:sz w:val="72"/>
          <w:szCs w:val="72"/>
        </w:rPr>
        <w:t>询 价 文 件</w:t>
      </w:r>
    </w:p>
    <w:p>
      <w:pPr>
        <w:pStyle w:val="37"/>
        <w:rPr>
          <w:rFonts w:ascii="黑体" w:hAnsi="黑体" w:eastAsia="黑体" w:cs="宋体"/>
          <w:b/>
          <w:kern w:val="0"/>
          <w:sz w:val="72"/>
          <w:szCs w:val="72"/>
        </w:rPr>
      </w:pPr>
    </w:p>
    <w:p>
      <w:pPr>
        <w:pStyle w:val="37"/>
        <w:jc w:val="center"/>
        <w:rPr>
          <w:rFonts w:ascii="黑体" w:hAnsi="黑体" w:eastAsia="黑体" w:cs="宋体"/>
          <w:b/>
          <w:kern w:val="0"/>
          <w:sz w:val="72"/>
          <w:szCs w:val="72"/>
        </w:rPr>
      </w:pPr>
      <w:r>
        <w:rPr>
          <w:rFonts w:hint="eastAsia" w:ascii="黑体" w:hAnsi="黑体" w:eastAsia="黑体" w:cs="黑体"/>
          <w:sz w:val="28"/>
          <w:szCs w:val="28"/>
        </w:rPr>
        <w:t>采购编号：省港服（2023）年询第</w:t>
      </w:r>
      <w:r>
        <w:rPr>
          <w:rFonts w:hint="eastAsia" w:ascii="黑体" w:hAnsi="黑体" w:eastAsia="黑体" w:cs="黑体"/>
          <w:sz w:val="28"/>
          <w:szCs w:val="28"/>
          <w:lang w:val="en-US" w:eastAsia="zh-CN"/>
        </w:rPr>
        <w:t>25</w:t>
      </w:r>
      <w:bookmarkStart w:id="69" w:name="_GoBack"/>
      <w:bookmarkEnd w:id="69"/>
      <w:r>
        <w:rPr>
          <w:rFonts w:hint="eastAsia" w:ascii="黑体" w:hAnsi="黑体" w:eastAsia="黑体" w:cs="黑体"/>
          <w:sz w:val="28"/>
          <w:szCs w:val="28"/>
        </w:rPr>
        <w:t>号【城港】</w:t>
      </w: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snapToGrid w:val="0"/>
        <w:spacing w:line="800" w:lineRule="exact"/>
        <w:jc w:val="center"/>
        <w:rPr>
          <w:rFonts w:ascii="黑体" w:hAnsi="黑体" w:eastAsia="黑体"/>
          <w:bCs/>
          <w:sz w:val="44"/>
          <w:szCs w:val="44"/>
        </w:rPr>
      </w:pPr>
    </w:p>
    <w:p>
      <w:pPr>
        <w:snapToGrid w:val="0"/>
        <w:spacing w:line="800" w:lineRule="exact"/>
        <w:jc w:val="center"/>
        <w:rPr>
          <w:rFonts w:ascii="黑体" w:hAnsi="黑体" w:eastAsia="黑体"/>
          <w:bCs/>
          <w:sz w:val="44"/>
          <w:szCs w:val="44"/>
        </w:rPr>
      </w:pPr>
      <w:r>
        <w:rPr>
          <w:rFonts w:hint="eastAsia" w:ascii="黑体" w:hAnsi="黑体" w:eastAsia="黑体"/>
          <w:bCs/>
          <w:sz w:val="44"/>
          <w:szCs w:val="44"/>
        </w:rPr>
        <w:t>二О二三年</w:t>
      </w:r>
      <w:r>
        <w:rPr>
          <w:rFonts w:hint="eastAsia" w:ascii="黑体" w:hAnsi="黑体" w:eastAsia="黑体"/>
          <w:bCs/>
          <w:sz w:val="44"/>
          <w:szCs w:val="44"/>
          <w:lang w:val="en-US" w:eastAsia="zh-CN"/>
        </w:rPr>
        <w:t>八</w:t>
      </w:r>
      <w:r>
        <w:rPr>
          <w:rFonts w:hint="eastAsia" w:ascii="黑体" w:hAnsi="黑体" w:eastAsia="黑体"/>
          <w:bCs/>
          <w:sz w:val="44"/>
          <w:szCs w:val="44"/>
        </w:rPr>
        <w:t>月</w:t>
      </w:r>
    </w:p>
    <w:p>
      <w:pPr>
        <w:rPr>
          <w:rFonts w:ascii="黑体" w:hAnsi="黑体" w:eastAsia="黑体"/>
          <w:bCs/>
          <w:sz w:val="44"/>
          <w:szCs w:val="44"/>
        </w:rPr>
      </w:pPr>
      <w:r>
        <w:rPr>
          <w:rFonts w:hint="eastAsia" w:ascii="黑体" w:hAnsi="黑体" w:eastAsia="黑体"/>
          <w:bCs/>
          <w:sz w:val="44"/>
          <w:szCs w:val="44"/>
        </w:rPr>
        <w:br w:type="page"/>
      </w:r>
    </w:p>
    <w:p>
      <w:pPr>
        <w:pStyle w:val="37"/>
      </w:pPr>
    </w:p>
    <w:sdt>
      <w:sdtPr>
        <w:rPr>
          <w:rFonts w:ascii="宋体" w:hAnsi="宋体"/>
        </w:rPr>
        <w:id w:val="147455714"/>
        <w15:color w:val="DBDBDB"/>
        <w:docPartObj>
          <w:docPartGallery w:val="Table of Contents"/>
          <w:docPartUnique/>
        </w:docPartObj>
      </w:sdtPr>
      <w:sdtEndPr>
        <w:rPr>
          <w:rFonts w:ascii="宋体" w:hAnsi="宋体"/>
        </w:rPr>
      </w:sdtEndPr>
      <w:sdtContent>
        <w:p>
          <w:pPr>
            <w:spacing w:line="240" w:lineRule="auto"/>
            <w:jc w:val="center"/>
            <w:rPr>
              <w:rFonts w:ascii="黑体" w:hAnsi="黑体" w:eastAsia="黑体" w:cs="黑体"/>
              <w:sz w:val="36"/>
              <w:szCs w:val="36"/>
            </w:rPr>
          </w:pPr>
          <w:r>
            <w:rPr>
              <w:rFonts w:hint="eastAsia" w:ascii="黑体" w:hAnsi="黑体" w:eastAsia="黑体" w:cs="黑体"/>
              <w:sz w:val="36"/>
              <w:szCs w:val="36"/>
            </w:rPr>
            <w:t>目 录</w:t>
          </w:r>
        </w:p>
        <w:p>
          <w:pPr>
            <w:pStyle w:val="37"/>
          </w:pPr>
        </w:p>
        <w:p>
          <w:pPr>
            <w:pStyle w:val="188"/>
            <w:tabs>
              <w:tab w:val="right" w:leader="dot" w:pos="9746"/>
            </w:tabs>
            <w:spacing w:line="36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"_Toc20013"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_Toc20013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"_Toc23523"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_Toc23523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"_Toc17016" </w:instrText>
          </w:r>
          <w:r>
            <w:fldChar w:fldCharType="separate"/>
          </w:r>
          <w:r>
            <w:rPr>
              <w:rFonts w:hint="eastAsia" w:ascii="宋体" w:hAnsi="宋体" w:cs="宋体"/>
              <w:bCs/>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_Toc17016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"_Toc3091" </w:instrText>
          </w:r>
          <w:r>
            <w:fldChar w:fldCharType="separate"/>
          </w:r>
          <w:r>
            <w:rPr>
              <w:rFonts w:hint="eastAsia" w:ascii="宋体" w:hAnsi="宋体" w:cs="宋体"/>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_Toc3091 \h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"_Toc7998"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_Toc7998 \h </w:instrText>
          </w:r>
          <w:r>
            <w:rPr>
              <w:rFonts w:hint="eastAsia" w:ascii="宋体" w:hAnsi="宋体" w:cs="宋体"/>
              <w:sz w:val="28"/>
              <w:szCs w:val="28"/>
            </w:rPr>
            <w:fldChar w:fldCharType="separate"/>
          </w:r>
          <w:r>
            <w:rPr>
              <w:rFonts w:hint="eastAsia" w:ascii="宋体" w:hAnsi="宋体" w:cs="宋体"/>
              <w:sz w:val="28"/>
              <w:szCs w:val="28"/>
            </w:rPr>
            <w:t>38</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"_Toc23833"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_Toc23833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"_Toc28902" </w:instrText>
          </w:r>
          <w:r>
            <w:fldChar w:fldCharType="separate"/>
          </w:r>
          <w:r>
            <w:rPr>
              <w:rFonts w:hint="eastAsia" w:ascii="宋体" w:hAnsi="宋体" w:cs="宋体"/>
              <w:sz w:val="28"/>
              <w:szCs w:val="28"/>
            </w:rPr>
            <w:t>一、 响应函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_Toc28902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"_Toc24926" </w:instrText>
          </w:r>
          <w:r>
            <w:fldChar w:fldCharType="separate"/>
          </w:r>
          <w:r>
            <w:rPr>
              <w:rFonts w:hint="eastAsia" w:ascii="宋体" w:hAnsi="宋体" w:cs="宋体"/>
              <w:sz w:val="28"/>
              <w:szCs w:val="28"/>
            </w:rPr>
            <w:t>二、授权委托书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_Toc24926 \h </w:instrText>
          </w:r>
          <w:r>
            <w:rPr>
              <w:rFonts w:hint="eastAsia" w:ascii="宋体" w:hAnsi="宋体" w:cs="宋体"/>
              <w:sz w:val="28"/>
              <w:szCs w:val="28"/>
            </w:rPr>
            <w:fldChar w:fldCharType="separate"/>
          </w:r>
          <w:r>
            <w:rPr>
              <w:rFonts w:hint="eastAsia"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"_Toc30523" </w:instrText>
          </w:r>
          <w:r>
            <w:fldChar w:fldCharType="separate"/>
          </w:r>
          <w:r>
            <w:rPr>
              <w:rFonts w:hint="eastAsia" w:ascii="宋体" w:hAnsi="宋体" w:cs="宋体"/>
              <w:sz w:val="28"/>
              <w:szCs w:val="28"/>
            </w:rPr>
            <w:t>三、响应保证金</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_Toc30523 \h </w:instrText>
          </w:r>
          <w:r>
            <w:rPr>
              <w:rFonts w:hint="eastAsia" w:ascii="宋体" w:hAnsi="宋体" w:cs="宋体"/>
              <w:sz w:val="28"/>
              <w:szCs w:val="28"/>
            </w:rPr>
            <w:fldChar w:fldCharType="separate"/>
          </w:r>
          <w:r>
            <w:rPr>
              <w:rFonts w:hint="eastAsia"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"_Toc2054" </w:instrText>
          </w:r>
          <w:r>
            <w:fldChar w:fldCharType="separate"/>
          </w:r>
          <w:r>
            <w:rPr>
              <w:rFonts w:hint="eastAsia" w:ascii="宋体" w:hAnsi="宋体" w:cs="宋体"/>
              <w:sz w:val="28"/>
              <w:szCs w:val="28"/>
            </w:rPr>
            <w:t>四、商务和技术偏差表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_Toc2054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"_Toc1518" </w:instrText>
          </w:r>
          <w:r>
            <w:fldChar w:fldCharType="separate"/>
          </w:r>
          <w:r>
            <w:rPr>
              <w:rFonts w:hint="eastAsia" w:ascii="宋体" w:hAnsi="宋体" w:cs="宋体"/>
              <w:sz w:val="28"/>
              <w:szCs w:val="28"/>
            </w:rPr>
            <w:t>五、资格审查资料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_Toc1518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"_Toc16387" </w:instrText>
          </w:r>
          <w:r>
            <w:fldChar w:fldCharType="separate"/>
          </w:r>
          <w:r>
            <w:rPr>
              <w:rFonts w:hint="eastAsia" w:ascii="宋体" w:hAnsi="宋体" w:cs="宋体"/>
              <w:sz w:val="28"/>
              <w:szCs w:val="28"/>
            </w:rPr>
            <w:t>六、响应方案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_Toc16387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"_Toc15690" </w:instrText>
          </w:r>
          <w:r>
            <w:fldChar w:fldCharType="separate"/>
          </w:r>
          <w:r>
            <w:rPr>
              <w:rFonts w:hint="eastAsia" w:ascii="宋体" w:hAnsi="宋体" w:cs="宋体"/>
              <w:sz w:val="28"/>
              <w:szCs w:val="28"/>
            </w:rPr>
            <w:t>七、其他资料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_Toc15690 \h </w:instrText>
          </w:r>
          <w:r>
            <w:rPr>
              <w:rFonts w:hint="eastAsia" w:ascii="宋体" w:hAnsi="宋体" w:cs="宋体"/>
              <w:sz w:val="28"/>
              <w:szCs w:val="28"/>
            </w:rPr>
            <w:fldChar w:fldCharType="separate"/>
          </w:r>
          <w:r>
            <w:rPr>
              <w:rFonts w:hint="eastAsia" w:ascii="宋体" w:hAnsi="宋体" w:cs="宋体"/>
              <w:sz w:val="28"/>
              <w:szCs w:val="28"/>
            </w:rPr>
            <w:t>51</w:t>
          </w:r>
          <w:r>
            <w:rPr>
              <w:rFonts w:hint="eastAsia" w:ascii="宋体" w:hAnsi="宋体" w:cs="宋体"/>
              <w:sz w:val="28"/>
              <w:szCs w:val="28"/>
            </w:rPr>
            <w:fldChar w:fldCharType="end"/>
          </w:r>
          <w:r>
            <w:rPr>
              <w:rFonts w:hint="eastAsia" w:ascii="宋体" w:hAnsi="宋体" w:cs="宋体"/>
              <w:sz w:val="28"/>
              <w:szCs w:val="28"/>
            </w:rPr>
            <w:fldChar w:fldCharType="end"/>
          </w:r>
        </w:p>
        <w:p>
          <w:pPr>
            <w:spacing w:line="360" w:lineRule="auto"/>
          </w:pPr>
          <w:r>
            <w:rPr>
              <w:rFonts w:hint="eastAsia" w:ascii="宋体" w:hAnsi="宋体" w:cs="宋体"/>
              <w:sz w:val="28"/>
              <w:szCs w:val="28"/>
            </w:rPr>
            <w:fldChar w:fldCharType="end"/>
          </w:r>
        </w:p>
      </w:sdtContent>
    </w:sdt>
    <w:p>
      <w:pPr>
        <w:rPr>
          <w:rFonts w:eastAsia="楷体_GB2312"/>
          <w:b/>
          <w:sz w:val="28"/>
          <w:szCs w:val="28"/>
        </w:rPr>
      </w:pPr>
      <w:r>
        <w:rPr>
          <w:rFonts w:eastAsia="楷体_GB2312"/>
          <w:b/>
          <w:sz w:val="28"/>
          <w:szCs w:val="28"/>
        </w:rPr>
        <w:br w:type="page"/>
      </w:r>
    </w:p>
    <w:p>
      <w:pPr>
        <w:pStyle w:val="76"/>
        <w:numPr>
          <w:ilvl w:val="0"/>
          <w:numId w:val="1"/>
        </w:numPr>
        <w:spacing w:line="600" w:lineRule="exact"/>
        <w:ind w:firstLineChars="0"/>
        <w:jc w:val="center"/>
        <w:outlineLvl w:val="0"/>
        <w:rPr>
          <w:rFonts w:ascii="黑体" w:hAnsi="黑体" w:eastAsia="黑体" w:cs="仿宋"/>
          <w:b/>
          <w:sz w:val="44"/>
          <w:szCs w:val="44"/>
        </w:rPr>
      </w:pPr>
      <w:bookmarkStart w:id="0" w:name="_Toc20013"/>
      <w:bookmarkStart w:id="1" w:name="_Toc27163"/>
      <w:r>
        <w:rPr>
          <w:rFonts w:hint="eastAsia" w:ascii="黑体" w:hAnsi="黑体" w:eastAsia="黑体" w:cs="仿宋"/>
          <w:b/>
          <w:sz w:val="44"/>
          <w:szCs w:val="44"/>
        </w:rPr>
        <w:t>采购公告</w:t>
      </w:r>
      <w:bookmarkEnd w:id="0"/>
      <w:bookmarkEnd w:id="1"/>
    </w:p>
    <w:p>
      <w:pPr>
        <w:pStyle w:val="76"/>
        <w:spacing w:line="600" w:lineRule="exact"/>
        <w:ind w:left="1785" w:firstLine="0" w:firstLineChars="0"/>
        <w:rPr>
          <w:rFonts w:ascii="黑体" w:hAnsi="黑体" w:eastAsia="黑体" w:cs="仿宋"/>
          <w:b/>
          <w:sz w:val="44"/>
          <w:szCs w:val="44"/>
        </w:rPr>
      </w:pPr>
    </w:p>
    <w:p>
      <w:pPr>
        <w:pStyle w:val="33"/>
        <w:spacing w:before="0" w:beforeAutospacing="0" w:after="0" w:afterAutospacing="0"/>
        <w:jc w:val="center"/>
        <w:rPr>
          <w:rFonts w:ascii="黑体" w:hAnsi="黑体" w:eastAsia="黑体"/>
          <w:sz w:val="32"/>
          <w:szCs w:val="32"/>
        </w:rPr>
      </w:pPr>
      <w:r>
        <w:rPr>
          <w:rFonts w:hint="eastAsia" w:ascii="黑体" w:hAnsi="黑体" w:eastAsia="黑体"/>
          <w:sz w:val="32"/>
          <w:szCs w:val="32"/>
        </w:rPr>
        <w:t>岳阳城陵矶港务有限责任公司</w:t>
      </w:r>
    </w:p>
    <w:p>
      <w:pPr>
        <w:widowControl w:val="0"/>
        <w:spacing w:line="800" w:lineRule="exact"/>
        <w:jc w:val="center"/>
        <w:rPr>
          <w:rFonts w:ascii="黑体" w:hAnsi="黑体" w:eastAsia="黑体"/>
          <w:sz w:val="32"/>
          <w:szCs w:val="32"/>
        </w:rPr>
      </w:pPr>
      <w:r>
        <w:rPr>
          <w:rFonts w:hint="eastAsia" w:ascii="黑体" w:hAnsi="黑体" w:eastAsia="黑体" w:cs="宋体"/>
          <w:kern w:val="0"/>
          <w:sz w:val="32"/>
          <w:szCs w:val="32"/>
          <w:lang w:val="en-US" w:eastAsia="zh-CN" w:bidi="ar-SA"/>
        </w:rPr>
        <w:t>2023年铁运公司连接员劳务外包</w:t>
      </w:r>
      <w:r>
        <w:rPr>
          <w:rFonts w:hint="eastAsia" w:ascii="黑体" w:hAnsi="黑体" w:eastAsia="黑体"/>
          <w:sz w:val="32"/>
          <w:szCs w:val="32"/>
        </w:rPr>
        <w:t>服务采购公告</w:t>
      </w:r>
    </w:p>
    <w:p>
      <w:pPr>
        <w:pStyle w:val="33"/>
        <w:spacing w:before="0" w:beforeAutospacing="0" w:after="0" w:afterAutospacing="0"/>
        <w:ind w:firstLine="2880" w:firstLineChars="1200"/>
        <w:jc w:val="both"/>
      </w:pPr>
      <w:r>
        <w:rPr>
          <w:rFonts w:hint="eastAsia"/>
        </w:rPr>
        <w:t xml:space="preserve"> </w:t>
      </w:r>
    </w:p>
    <w:p>
      <w:pPr>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 xml:space="preserve">   岳阳城陵矶港务有限责任公司</w:t>
      </w:r>
      <w:r>
        <w:rPr>
          <w:rFonts w:hint="eastAsia" w:ascii="宋体" w:hAnsi="宋体" w:eastAsia="宋体" w:cs="宋体"/>
          <w:sz w:val="24"/>
          <w:szCs w:val="24"/>
          <w:lang w:val="en-US" w:eastAsia="zh-CN"/>
        </w:rPr>
        <w:t>2023年</w:t>
      </w:r>
      <w:r>
        <w:rPr>
          <w:rFonts w:hint="eastAsia" w:ascii="宋体" w:hAnsi="宋体" w:cs="宋体"/>
          <w:sz w:val="24"/>
          <w:szCs w:val="24"/>
          <w:lang w:val="en-US" w:eastAsia="zh-CN"/>
        </w:rPr>
        <w:t>铁运公司连接员</w:t>
      </w:r>
      <w:r>
        <w:rPr>
          <w:rFonts w:hint="eastAsia" w:ascii="宋体" w:hAnsi="宋体" w:eastAsia="宋体" w:cs="宋体"/>
          <w:sz w:val="24"/>
          <w:szCs w:val="24"/>
          <w:lang w:val="en-US" w:eastAsia="zh-CN"/>
        </w:rPr>
        <w:t>劳务外包</w:t>
      </w:r>
      <w:r>
        <w:rPr>
          <w:rFonts w:hint="eastAsia" w:ascii="宋体" w:hAnsi="宋体" w:eastAsia="宋体" w:cs="宋体"/>
          <w:sz w:val="24"/>
          <w:szCs w:val="24"/>
        </w:rPr>
        <w:t xml:space="preserve">服务已具备采购条件，现公开邀请供应商参加采购活动。 </w:t>
      </w:r>
    </w:p>
    <w:p>
      <w:pPr>
        <w:pStyle w:val="7"/>
        <w:jc w:val="both"/>
        <w:rPr>
          <w:rFonts w:hint="eastAsia" w:ascii="宋体" w:hAnsi="宋体" w:eastAsia="宋体" w:cs="宋体"/>
          <w:sz w:val="24"/>
          <w:szCs w:val="24"/>
        </w:rPr>
      </w:pPr>
      <w:r>
        <w:rPr>
          <w:rFonts w:hint="eastAsia" w:ascii="宋体" w:hAnsi="宋体" w:eastAsia="宋体" w:cs="宋体"/>
          <w:sz w:val="24"/>
          <w:szCs w:val="24"/>
        </w:rPr>
        <w:t xml:space="preserve">一、 采购项目简介 </w:t>
      </w:r>
    </w:p>
    <w:p>
      <w:pPr>
        <w:autoSpaceDE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（一）采购项目名称:岳阳城陵矶港务有限责任公司</w:t>
      </w:r>
      <w:r>
        <w:rPr>
          <w:rFonts w:hint="eastAsia" w:ascii="宋体" w:hAnsi="宋体" w:eastAsia="宋体" w:cs="宋体"/>
          <w:sz w:val="24"/>
          <w:szCs w:val="24"/>
          <w:lang w:val="en-US" w:eastAsia="zh-CN"/>
        </w:rPr>
        <w:t>2023年</w:t>
      </w:r>
      <w:r>
        <w:rPr>
          <w:rFonts w:hint="eastAsia" w:ascii="宋体" w:hAnsi="宋体" w:cs="宋体"/>
          <w:sz w:val="24"/>
          <w:szCs w:val="24"/>
          <w:lang w:val="en-US" w:eastAsia="zh-CN"/>
        </w:rPr>
        <w:t>铁运公司连接员</w:t>
      </w:r>
      <w:r>
        <w:rPr>
          <w:rFonts w:hint="eastAsia" w:ascii="宋体" w:hAnsi="宋体" w:eastAsia="宋体" w:cs="宋体"/>
          <w:sz w:val="24"/>
          <w:szCs w:val="24"/>
          <w:lang w:val="en-US" w:eastAsia="zh-CN"/>
        </w:rPr>
        <w:t>劳务外包</w:t>
      </w:r>
      <w:r>
        <w:rPr>
          <w:rFonts w:hint="eastAsia" w:ascii="宋体" w:hAnsi="宋体" w:eastAsia="宋体" w:cs="宋体"/>
          <w:sz w:val="24"/>
          <w:szCs w:val="24"/>
        </w:rPr>
        <w:t>服务</w:t>
      </w:r>
    </w:p>
    <w:p>
      <w:pPr>
        <w:autoSpaceDE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（二）采购人: 岳阳城陵矶港务有限责任公司</w:t>
      </w:r>
    </w:p>
    <w:p>
      <w:pPr>
        <w:autoSpaceDE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（三）采购代理机构:无</w:t>
      </w:r>
    </w:p>
    <w:p>
      <w:pPr>
        <w:autoSpaceDE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（四）</w:t>
      </w:r>
      <w:r>
        <w:rPr>
          <w:rFonts w:hint="eastAsia" w:ascii="宋体" w:hAnsi="宋体" w:eastAsia="宋体" w:cs="宋体"/>
          <w:color w:val="auto"/>
          <w:sz w:val="24"/>
          <w:szCs w:val="24"/>
          <w:highlight w:val="none"/>
        </w:rPr>
        <w:t>采购项目资金落实情况:企业自筹，已落实。</w:t>
      </w:r>
    </w:p>
    <w:p>
      <w:pPr>
        <w:adjustRightInd w:val="0"/>
        <w:snapToGrid w:val="0"/>
        <w:spacing w:line="360" w:lineRule="auto"/>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（五）采购项目概况:</w:t>
      </w:r>
      <w:r>
        <w:rPr>
          <w:rFonts w:hint="eastAsia" w:ascii="宋体" w:hAnsi="宋体" w:eastAsia="宋体" w:cs="Times New Roman"/>
          <w:kern w:val="2"/>
          <w:sz w:val="24"/>
          <w:szCs w:val="24"/>
          <w:highlight w:val="none"/>
          <w:lang w:val="en-US" w:eastAsia="zh-CN" w:bidi="ar-SA"/>
        </w:rPr>
        <w:t>城港铁运公司调车作业随着城陵矶地区铁路运量的增加，机务和调车组连接员缺员</w:t>
      </w:r>
      <w:r>
        <w:rPr>
          <w:rFonts w:hint="eastAsia" w:ascii="宋体" w:hAnsi="宋体" w:eastAsia="宋体" w:cs="Times New Roman"/>
          <w:kern w:val="2"/>
          <w:sz w:val="24"/>
          <w:szCs w:val="24"/>
          <w:lang w:val="en-US" w:eastAsia="zh-CN" w:bidi="ar-SA"/>
        </w:rPr>
        <w:t>，需补员4名连接员。连接员主要从事列车编组和车辆取送，作业范围在城陵矶地区各专用线、工业站及岳阳北站。连接员须保证调车作业安全，提高机车作业效率，压缩车辆停时，完成好调车作业任务。</w:t>
      </w:r>
    </w:p>
    <w:p>
      <w:pPr>
        <w:pStyle w:val="7"/>
        <w:jc w:val="both"/>
        <w:rPr>
          <w:rFonts w:hint="eastAsia" w:ascii="宋体" w:hAnsi="宋体" w:eastAsia="宋体" w:cs="宋体"/>
          <w:sz w:val="24"/>
          <w:szCs w:val="24"/>
        </w:rPr>
      </w:pPr>
      <w:r>
        <w:rPr>
          <w:rFonts w:hint="eastAsia" w:ascii="宋体" w:hAnsi="宋体" w:eastAsia="宋体" w:cs="宋体"/>
          <w:sz w:val="24"/>
          <w:szCs w:val="24"/>
        </w:rPr>
        <w:t>二、采购范围及相关要求</w:t>
      </w:r>
    </w:p>
    <w:p>
      <w:pPr>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sz w:val="24"/>
          <w:szCs w:val="24"/>
        </w:rPr>
        <w:t>（一）采购范围</w:t>
      </w:r>
      <w:r>
        <w:rPr>
          <w:rFonts w:hint="eastAsia" w:ascii="宋体" w:hAnsi="宋体" w:eastAsia="宋体" w:cs="宋体"/>
          <w:color w:val="auto"/>
          <w:sz w:val="24"/>
          <w:szCs w:val="24"/>
        </w:rPr>
        <w:t>:</w:t>
      </w:r>
      <w:r>
        <w:rPr>
          <w:rFonts w:hint="eastAsia" w:ascii="宋体" w:hAnsi="宋体" w:eastAsia="宋体" w:cs="Times New Roman"/>
          <w:kern w:val="2"/>
          <w:sz w:val="24"/>
          <w:szCs w:val="24"/>
          <w:lang w:val="en-US" w:eastAsia="zh-CN" w:bidi="ar-SA"/>
        </w:rPr>
        <w:t>港口铁运公司铁路调车连接员劳务外包业务，乙方必须具</w:t>
      </w:r>
      <w:r>
        <w:rPr>
          <w:rFonts w:hint="eastAsia" w:ascii="宋体" w:hAnsi="宋体"/>
          <w:sz w:val="24"/>
          <w:highlight w:val="none"/>
        </w:rPr>
        <w:t>备</w:t>
      </w:r>
      <w:r>
        <w:rPr>
          <w:rFonts w:hint="eastAsia" w:ascii="宋体" w:hAnsi="宋体"/>
          <w:sz w:val="24"/>
          <w:highlight w:val="none"/>
          <w:lang w:val="en-US" w:eastAsia="zh-CN"/>
        </w:rPr>
        <w:t>4</w:t>
      </w:r>
      <w:r>
        <w:rPr>
          <w:rFonts w:hint="eastAsia" w:ascii="宋体" w:hAnsi="宋体"/>
          <w:sz w:val="24"/>
          <w:highlight w:val="none"/>
        </w:rPr>
        <w:t>人的</w:t>
      </w:r>
      <w:r>
        <w:rPr>
          <w:rFonts w:hint="eastAsia" w:ascii="宋体" w:hAnsi="宋体"/>
          <w:sz w:val="24"/>
          <w:highlight w:val="none"/>
          <w:lang w:val="en-US" w:eastAsia="zh-CN"/>
        </w:rPr>
        <w:t>铁路调车连接</w:t>
      </w:r>
      <w:r>
        <w:rPr>
          <w:rFonts w:hint="eastAsia" w:ascii="宋体" w:hAnsi="宋体"/>
          <w:sz w:val="24"/>
          <w:highlight w:val="none"/>
        </w:rPr>
        <w:t>作业人员，</w:t>
      </w:r>
      <w:r>
        <w:rPr>
          <w:rFonts w:hint="eastAsia" w:ascii="宋体" w:hAnsi="宋体"/>
          <w:sz w:val="24"/>
          <w:highlight w:val="none"/>
          <w:lang w:val="en-US" w:eastAsia="zh-CN"/>
        </w:rPr>
        <w:t>铁路调车连接</w:t>
      </w:r>
      <w:r>
        <w:rPr>
          <w:rFonts w:hint="eastAsia" w:ascii="宋体" w:hAnsi="宋体"/>
          <w:sz w:val="24"/>
          <w:highlight w:val="none"/>
        </w:rPr>
        <w:t>作业</w:t>
      </w:r>
      <w:r>
        <w:rPr>
          <w:rFonts w:hint="eastAsia" w:ascii="宋体" w:hAnsi="宋体"/>
          <w:sz w:val="24"/>
          <w:highlight w:val="none"/>
          <w:lang w:val="en-US" w:eastAsia="zh-CN"/>
        </w:rPr>
        <w:t>人员以退伍军人优先，大专以上学历，年龄不得超过25岁。</w:t>
      </w:r>
      <w:r>
        <w:rPr>
          <w:rFonts w:hint="eastAsia" w:ascii="宋体" w:hAnsi="宋体"/>
          <w:sz w:val="24"/>
          <w:highlight w:val="none"/>
        </w:rPr>
        <w:t>且不</w:t>
      </w:r>
      <w:r>
        <w:rPr>
          <w:rFonts w:hint="eastAsia" w:ascii="宋体" w:hAnsi="宋体"/>
          <w:sz w:val="24"/>
        </w:rPr>
        <w:t>得将业务转包给他方。</w:t>
      </w:r>
    </w:p>
    <w:p>
      <w:pPr>
        <w:autoSpaceDE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（二）服务期限: 合同签订日起起</w:t>
      </w:r>
      <w:r>
        <w:rPr>
          <w:rFonts w:hint="eastAsia" w:ascii="宋体" w:hAnsi="宋体" w:cs="宋体"/>
          <w:color w:val="auto"/>
          <w:sz w:val="24"/>
          <w:szCs w:val="24"/>
          <w:lang w:val="en-US" w:eastAsia="zh-CN"/>
        </w:rPr>
        <w:t>一年</w:t>
      </w:r>
      <w:r>
        <w:rPr>
          <w:rFonts w:hint="eastAsia" w:ascii="宋体" w:hAnsi="宋体" w:eastAsia="宋体" w:cs="宋体"/>
          <w:color w:val="auto"/>
          <w:sz w:val="24"/>
          <w:szCs w:val="24"/>
        </w:rPr>
        <w:t>。</w:t>
      </w:r>
    </w:p>
    <w:p>
      <w:pPr>
        <w:autoSpaceDE w:val="0"/>
        <w:spacing w:line="400" w:lineRule="exact"/>
        <w:jc w:val="both"/>
        <w:rPr>
          <w:rFonts w:hint="eastAsia" w:ascii="宋体" w:hAnsi="宋体" w:eastAsia="宋体" w:cs="宋体"/>
          <w:sz w:val="24"/>
          <w:szCs w:val="24"/>
          <w:highlight w:val="none"/>
        </w:rPr>
      </w:pPr>
      <w:r>
        <w:rPr>
          <w:rFonts w:hint="eastAsia" w:ascii="宋体" w:hAnsi="宋体" w:eastAsia="宋体" w:cs="宋体"/>
          <w:sz w:val="24"/>
          <w:szCs w:val="24"/>
        </w:rPr>
        <w:t xml:space="preserve">（三）服务地点: </w:t>
      </w:r>
      <w:r>
        <w:rPr>
          <w:rFonts w:hint="eastAsia" w:ascii="宋体" w:hAnsi="宋体" w:eastAsia="宋体" w:cs="宋体"/>
          <w:sz w:val="24"/>
          <w:szCs w:val="24"/>
          <w:highlight w:val="none"/>
        </w:rPr>
        <w:t xml:space="preserve">岳阳城陵矶港务有限责任公司 </w:t>
      </w:r>
    </w:p>
    <w:p>
      <w:pPr>
        <w:pStyle w:val="7"/>
        <w:jc w:val="both"/>
        <w:rPr>
          <w:rFonts w:ascii="黑体" w:hAnsi="黑体"/>
        </w:rPr>
      </w:pPr>
      <w:r>
        <w:rPr>
          <w:rFonts w:hint="eastAsia" w:ascii="黑体" w:hAnsi="黑体"/>
        </w:rPr>
        <w:t>三、供应商资格要求</w:t>
      </w:r>
    </w:p>
    <w:p>
      <w:pPr>
        <w:pStyle w:val="7"/>
        <w:jc w:val="both"/>
        <w:rPr>
          <w:rFonts w:ascii="宋体" w:hAnsi="宋体"/>
          <w:sz w:val="24"/>
        </w:rPr>
      </w:pPr>
      <w:r>
        <w:rPr>
          <w:rFonts w:hint="eastAsia" w:ascii="宋体" w:hAnsi="宋体"/>
          <w:sz w:val="24"/>
        </w:rPr>
        <w:t>（一）供应商不得存在下列情形之一: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ind w:firstLine="240" w:firstLineChars="100"/>
        <w:jc w:val="both"/>
        <w:rPr>
          <w:rFonts w:ascii="宋体" w:hAnsi="宋体"/>
          <w:sz w:val="24"/>
        </w:rPr>
      </w:pPr>
      <w:r>
        <w:rPr>
          <w:rFonts w:hint="eastAsia" w:ascii="宋体" w:hAnsi="宋体"/>
          <w:sz w:val="24"/>
        </w:rPr>
        <w:t>4.其他: 无</w:t>
      </w:r>
    </w:p>
    <w:p>
      <w:pPr>
        <w:autoSpaceDE w:val="0"/>
        <w:spacing w:line="400" w:lineRule="exact"/>
        <w:jc w:val="both"/>
        <w:rPr>
          <w:rFonts w:ascii="宋体" w:hAnsi="宋体"/>
          <w:sz w:val="24"/>
        </w:rPr>
      </w:pPr>
      <w:r>
        <w:rPr>
          <w:rFonts w:hint="eastAsia" w:ascii="宋体" w:hAnsi="宋体"/>
          <w:sz w:val="24"/>
        </w:rPr>
        <w:t>（二）供应商应满足如下要求:</w:t>
      </w:r>
    </w:p>
    <w:tbl>
      <w:tblPr>
        <w:tblStyle w:val="4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2"/>
                <w:u w:val="single"/>
              </w:rPr>
            </w:pP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适用,见采购文件供应商须知前附表3.5（8）。</w:t>
            </w:r>
          </w:p>
        </w:tc>
      </w:tr>
    </w:tbl>
    <w:p>
      <w:pPr>
        <w:pStyle w:val="7"/>
        <w:jc w:val="both"/>
        <w:rPr>
          <w:rFonts w:ascii="Arial" w:hAnsi="Arial"/>
        </w:rPr>
      </w:pPr>
      <w:r>
        <w:rPr>
          <w:rFonts w:hint="eastAsia" w:ascii="黑体" w:hAnsi="黑体"/>
        </w:rPr>
        <w:t>四、响应保证金</w:t>
      </w: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r>
              <w:rPr>
                <w:rStyle w:val="42"/>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2"/>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2"/>
                <w:rFonts w:hint="eastAsia"/>
              </w:rPr>
              <w:sym w:font="Wingdings 2" w:char="0052"/>
            </w:r>
            <w:r>
              <w:rPr>
                <w:rStyle w:val="42"/>
                <w:rFonts w:hint="eastAsia"/>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2"/>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2"/>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2"/>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tbl>
    <w:p>
      <w:pPr>
        <w:pStyle w:val="7"/>
        <w:jc w:val="both"/>
        <w:rPr>
          <w:rFonts w:ascii="Arial" w:hAnsi="Arial"/>
        </w:rPr>
      </w:pPr>
      <w:r>
        <w:rPr>
          <w:rFonts w:hint="eastAsia" w:ascii="黑体" w:hAnsi="黑体"/>
        </w:rPr>
        <w:t>五、确定成交供应商的方法</w:t>
      </w:r>
    </w:p>
    <w:p>
      <w:pPr>
        <w:autoSpaceDE w:val="0"/>
        <w:spacing w:line="400" w:lineRule="exact"/>
        <w:jc w:val="both"/>
        <w:rPr>
          <w:rFonts w:ascii="宋体" w:hAnsi="宋体"/>
          <w:sz w:val="24"/>
        </w:rPr>
      </w:pPr>
      <w:r>
        <w:rPr>
          <w:rFonts w:hint="eastAsia" w:ascii="宋体" w:hAnsi="宋体"/>
          <w:sz w:val="24"/>
        </w:rPr>
        <w:t>（一）</w:t>
      </w:r>
      <w:r>
        <w:rPr>
          <w:rFonts w:hint="eastAsia" w:ascii="宋体" w:hAnsi="宋体"/>
          <w:sz w:val="24"/>
          <w:lang w:val="en-US" w:eastAsia="zh-CN"/>
        </w:rPr>
        <w:t>最低价</w:t>
      </w:r>
      <w:r>
        <w:rPr>
          <w:rFonts w:hint="eastAsia" w:ascii="宋体" w:hAnsi="宋体"/>
          <w:sz w:val="24"/>
        </w:rPr>
        <w:t>法</w:t>
      </w:r>
    </w:p>
    <w:p>
      <w:pPr>
        <w:autoSpaceDE w:val="0"/>
        <w:spacing w:line="400" w:lineRule="exact"/>
        <w:jc w:val="both"/>
        <w:rPr>
          <w:rFonts w:ascii="宋体" w:hAnsi="宋体"/>
          <w:sz w:val="24"/>
        </w:rPr>
      </w:pPr>
      <w:r>
        <w:rPr>
          <w:rFonts w:hint="eastAsia" w:ascii="宋体" w:hAnsi="宋体"/>
          <w:sz w:val="24"/>
        </w:rPr>
        <w:t xml:space="preserve">（二）采购人应当确定排名第一的成交候选供应商为成交供应商。若排名第一的成交候选供应商未通过履约能力和报价核查，采购人应按推荐的名单排序依次确定其他成交候选供应商为成交供应商。 </w:t>
      </w:r>
    </w:p>
    <w:p>
      <w:pPr>
        <w:pStyle w:val="7"/>
        <w:keepNext w:val="0"/>
        <w:keepLines w:val="0"/>
        <w:widowControl w:val="0"/>
        <w:adjustRightInd w:val="0"/>
        <w:snapToGrid w:val="0"/>
        <w:spacing w:after="0" w:line="312" w:lineRule="auto"/>
        <w:jc w:val="both"/>
      </w:pPr>
      <w:r>
        <w:rPr>
          <w:rFonts w:hint="eastAsia"/>
        </w:rPr>
        <w:t>六、最高响应限价</w:t>
      </w:r>
    </w:p>
    <w:p>
      <w:pPr>
        <w:autoSpaceDE w:val="0"/>
        <w:spacing w:line="400" w:lineRule="exact"/>
        <w:jc w:val="both"/>
        <w:rPr>
          <w:rStyle w:val="42"/>
          <w:rFonts w:hint="eastAsia" w:asciiTheme="minorEastAsia" w:hAnsiTheme="minorEastAsia" w:eastAsiaTheme="minorEastAsia"/>
          <w:b w:val="0"/>
          <w:sz w:val="24"/>
        </w:rPr>
      </w:pPr>
      <w:bookmarkStart w:id="2" w:name="_Toc40274970"/>
      <w:bookmarkStart w:id="3" w:name="_Toc38287094"/>
      <w:r>
        <w:rPr>
          <w:rFonts w:hint="eastAsia" w:ascii="宋体" w:hAnsi="宋体"/>
          <w:sz w:val="24"/>
        </w:rPr>
        <w:t>（一）询价人为本次招标编制了最高限价，</w:t>
      </w:r>
      <w:r>
        <w:rPr>
          <w:rFonts w:hint="eastAsia" w:asciiTheme="minorEastAsia" w:hAnsiTheme="minorEastAsia" w:eastAsiaTheme="minorEastAsia" w:cstheme="minorEastAsia"/>
          <w:sz w:val="24"/>
          <w:highlight w:val="none"/>
          <w:lang w:val="en-US" w:eastAsia="zh-CN"/>
        </w:rPr>
        <w:t>叁拾捌</w:t>
      </w:r>
      <w:r>
        <w:rPr>
          <w:rFonts w:hint="eastAsia" w:asciiTheme="minorEastAsia" w:hAnsiTheme="minorEastAsia" w:eastAsiaTheme="minorEastAsia" w:cstheme="minorEastAsia"/>
          <w:sz w:val="24"/>
          <w:highlight w:val="none"/>
        </w:rPr>
        <w:t>万</w:t>
      </w:r>
      <w:r>
        <w:rPr>
          <w:rFonts w:hint="eastAsia" w:asciiTheme="minorEastAsia" w:hAnsiTheme="minorEastAsia" w:eastAsiaTheme="minorEastAsia" w:cstheme="minorEastAsia"/>
          <w:sz w:val="24"/>
          <w:highlight w:val="none"/>
          <w:lang w:val="en-US" w:eastAsia="zh-CN"/>
        </w:rPr>
        <w:t>捌</w:t>
      </w:r>
      <w:r>
        <w:rPr>
          <w:rFonts w:hint="eastAsia" w:asciiTheme="minorEastAsia" w:hAnsiTheme="minorEastAsia" w:eastAsiaTheme="minorEastAsia" w:cstheme="minorEastAsia"/>
          <w:sz w:val="24"/>
          <w:highlight w:val="none"/>
        </w:rPr>
        <w:t>仟元</w:t>
      </w:r>
      <w:r>
        <w:rPr>
          <w:rFonts w:hint="eastAsia" w:asciiTheme="minorEastAsia" w:hAnsiTheme="minorEastAsia" w:eastAsiaTheme="minorEastAsia" w:cstheme="minorEastAsia"/>
          <w:sz w:val="24"/>
          <w:highlight w:val="none"/>
          <w:lang w:val="en-US" w:eastAsia="zh-CN"/>
        </w:rPr>
        <w:t>捌佰元</w:t>
      </w:r>
      <w:r>
        <w:rPr>
          <w:rFonts w:hint="eastAsia" w:asciiTheme="minorEastAsia" w:hAnsiTheme="minorEastAsia" w:eastAsiaTheme="minorEastAsia" w:cstheme="minorEastAsia"/>
          <w:sz w:val="24"/>
          <w:highlight w:val="none"/>
        </w:rPr>
        <w:t>整（小写：￥</w:t>
      </w:r>
      <w:r>
        <w:rPr>
          <w:rFonts w:hint="eastAsia" w:asciiTheme="minorEastAsia" w:hAnsiTheme="minorEastAsia" w:eastAsiaTheme="minorEastAsia" w:cstheme="minorEastAsia"/>
          <w:sz w:val="24"/>
          <w:highlight w:val="none"/>
          <w:lang w:val="en-US" w:eastAsia="zh-CN"/>
        </w:rPr>
        <w:t>388800</w:t>
      </w:r>
      <w:r>
        <w:rPr>
          <w:rFonts w:hint="eastAsia" w:asciiTheme="minorEastAsia" w:hAnsiTheme="minorEastAsia" w:eastAsiaTheme="minorEastAsia" w:cstheme="minorEastAsia"/>
          <w:sz w:val="24"/>
          <w:highlight w:val="none"/>
        </w:rPr>
        <w:t>.00）</w:t>
      </w:r>
      <w:r>
        <w:rPr>
          <w:rStyle w:val="42"/>
          <w:rFonts w:hint="eastAsia" w:asciiTheme="minorEastAsia" w:hAnsiTheme="minorEastAsia" w:eastAsiaTheme="minorEastAsia"/>
          <w:b w:val="0"/>
          <w:sz w:val="24"/>
          <w:highlight w:val="none"/>
        </w:rPr>
        <w:t>，含</w:t>
      </w:r>
      <w:r>
        <w:rPr>
          <w:rStyle w:val="42"/>
          <w:rFonts w:hint="eastAsia" w:asciiTheme="minorEastAsia" w:hAnsiTheme="minorEastAsia" w:eastAsiaTheme="minorEastAsia"/>
          <w:b w:val="0"/>
          <w:sz w:val="24"/>
          <w:highlight w:val="none"/>
          <w:lang w:val="en-US" w:eastAsia="zh-CN"/>
        </w:rPr>
        <w:t>3%</w:t>
      </w:r>
      <w:r>
        <w:rPr>
          <w:rStyle w:val="42"/>
          <w:rFonts w:hint="eastAsia" w:asciiTheme="minorEastAsia" w:hAnsiTheme="minorEastAsia" w:eastAsiaTheme="minorEastAsia"/>
          <w:b w:val="0"/>
          <w:sz w:val="24"/>
          <w:highlight w:val="none"/>
        </w:rPr>
        <w:t>增值税税率 ，报价人如提供其他税率的增值税票，询价人按</w:t>
      </w:r>
      <w:r>
        <w:rPr>
          <w:rStyle w:val="42"/>
          <w:rFonts w:hint="eastAsia" w:asciiTheme="minorEastAsia" w:hAnsiTheme="minorEastAsia" w:eastAsiaTheme="minorEastAsia"/>
          <w:b w:val="0"/>
          <w:sz w:val="24"/>
          <w:highlight w:val="none"/>
          <w:lang w:val="en-US" w:eastAsia="zh-CN"/>
        </w:rPr>
        <w:t>3%</w:t>
      </w:r>
      <w:r>
        <w:rPr>
          <w:rStyle w:val="42"/>
          <w:rFonts w:hint="eastAsia" w:asciiTheme="minorEastAsia" w:hAnsiTheme="minorEastAsia" w:eastAsiaTheme="minorEastAsia"/>
          <w:b w:val="0"/>
          <w:sz w:val="24"/>
          <w:highlight w:val="none"/>
        </w:rPr>
        <w:t xml:space="preserve">税率调整后参与排序。                     </w:t>
      </w:r>
      <w:r>
        <w:rPr>
          <w:rStyle w:val="42"/>
          <w:rFonts w:hint="eastAsia" w:asciiTheme="minorEastAsia" w:hAnsiTheme="minorEastAsia" w:eastAsiaTheme="minorEastAsia"/>
          <w:b w:val="0"/>
          <w:sz w:val="24"/>
        </w:rPr>
        <w:t xml:space="preserve">       </w:t>
      </w:r>
    </w:p>
    <w:p>
      <w:pPr>
        <w:autoSpaceDE w:val="0"/>
        <w:spacing w:line="400" w:lineRule="exact"/>
        <w:jc w:val="both"/>
        <w:rPr>
          <w:rFonts w:hint="eastAsia" w:ascii="宋体" w:hAnsi="宋体"/>
          <w:sz w:val="24"/>
        </w:rPr>
      </w:pPr>
      <w:r>
        <w:rPr>
          <w:rFonts w:hint="eastAsia" w:ascii="宋体" w:hAnsi="宋体"/>
          <w:sz w:val="24"/>
        </w:rPr>
        <w:t>单价包含了劳务公司管理人员工资、人员工资、伙食补贴含零点班加餐费、社保、税金、工伤保险费、劳保用品费、人员工伤赔付（安全风险)、部分作业工属具添置费、一年三节加班费、水电费及合同中所包含的所有成本费用</w:t>
      </w:r>
      <w:r>
        <w:rPr>
          <w:rFonts w:hint="eastAsia" w:ascii="宋体" w:hAnsi="宋体"/>
          <w:sz w:val="24"/>
          <w:highlight w:val="none"/>
        </w:rPr>
        <w:t>。</w:t>
      </w:r>
      <w:r>
        <w:rPr>
          <w:rFonts w:hint="eastAsia" w:ascii="宋体" w:hAnsi="宋体"/>
          <w:sz w:val="24"/>
        </w:rPr>
        <w:t>（二）报价人报价应不高于最高限价，否则其报价将被否决。</w:t>
      </w:r>
      <w:bookmarkEnd w:id="2"/>
      <w:bookmarkEnd w:id="3"/>
    </w:p>
    <w:p>
      <w:pPr>
        <w:autoSpaceDE w:val="0"/>
        <w:spacing w:line="400" w:lineRule="exact"/>
        <w:jc w:val="both"/>
        <w:rPr>
          <w:rFonts w:hint="eastAsia" w:ascii="宋体" w:hAnsi="宋体"/>
          <w:sz w:val="24"/>
        </w:rPr>
      </w:pPr>
    </w:p>
    <w:p>
      <w:pPr>
        <w:pStyle w:val="7"/>
        <w:jc w:val="both"/>
        <w:rPr>
          <w:rFonts w:ascii="Arial" w:hAnsi="Arial"/>
          <w:highlight w:val="none"/>
        </w:rPr>
      </w:pPr>
      <w:r>
        <w:rPr>
          <w:rFonts w:hint="eastAsia" w:ascii="黑体" w:hAnsi="黑体"/>
        </w:rPr>
        <w:t>七、采购</w:t>
      </w:r>
      <w:r>
        <w:rPr>
          <w:rFonts w:hint="eastAsia" w:ascii="黑体" w:hAnsi="黑体"/>
          <w:highlight w:val="none"/>
        </w:rPr>
        <w:t>文件获取</w:t>
      </w:r>
    </w:p>
    <w:p>
      <w:pPr>
        <w:autoSpaceDE w:val="0"/>
        <w:spacing w:line="400" w:lineRule="exact"/>
        <w:jc w:val="both"/>
        <w:rPr>
          <w:rFonts w:ascii="宋体" w:hAnsi="宋体"/>
          <w:sz w:val="24"/>
          <w:highlight w:val="none"/>
        </w:rPr>
      </w:pPr>
      <w:r>
        <w:rPr>
          <w:rFonts w:hint="eastAsia" w:ascii="宋体" w:hAnsi="宋体"/>
          <w:sz w:val="24"/>
          <w:highlight w:val="none"/>
        </w:rPr>
        <w:t>（一）供应商应当于202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3</w:t>
      </w:r>
      <w:r>
        <w:rPr>
          <w:rFonts w:hint="eastAsia" w:ascii="宋体" w:hAnsi="宋体"/>
          <w:sz w:val="24"/>
          <w:highlight w:val="none"/>
        </w:rPr>
        <w:t>日至202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日，网上直接下载获取采购文件，报价文件最迟应于202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 xml:space="preserve">时 </w:t>
      </w:r>
      <w:r>
        <w:rPr>
          <w:rFonts w:hint="eastAsia" w:ascii="宋体" w:hAnsi="宋体"/>
          <w:sz w:val="24"/>
          <w:highlight w:val="none"/>
          <w:lang w:val="en-US" w:eastAsia="zh-CN"/>
        </w:rPr>
        <w:t>3</w:t>
      </w:r>
      <w:r>
        <w:rPr>
          <w:rFonts w:hint="eastAsia" w:ascii="宋体" w:hAnsi="宋体"/>
          <w:sz w:val="24"/>
          <w:highlight w:val="none"/>
        </w:rPr>
        <w:t>0分</w:t>
      </w:r>
      <w:r>
        <w:rPr>
          <w:rFonts w:hint="eastAsia" w:ascii="宋体" w:hAnsi="宋体"/>
          <w:sz w:val="24"/>
          <w:highlight w:val="none"/>
          <w:lang w:val="en-US" w:eastAsia="zh-CN"/>
        </w:rPr>
        <w:t>前</w:t>
      </w:r>
      <w:r>
        <w:rPr>
          <w:rFonts w:hint="eastAsia" w:ascii="宋体" w:hAnsi="宋体"/>
          <w:sz w:val="24"/>
          <w:highlight w:val="none"/>
        </w:rPr>
        <w:t>送达岳阳城陵矶港务有限责任公司办公楼3</w:t>
      </w:r>
      <w:r>
        <w:rPr>
          <w:rFonts w:hint="eastAsia" w:ascii="宋体" w:hAnsi="宋体"/>
          <w:sz w:val="24"/>
          <w:highlight w:val="none"/>
          <w:lang w:val="en-US" w:eastAsia="zh-CN"/>
        </w:rPr>
        <w:t>22</w:t>
      </w:r>
      <w:r>
        <w:rPr>
          <w:rFonts w:hint="eastAsia" w:ascii="宋体" w:hAnsi="宋体"/>
          <w:sz w:val="24"/>
          <w:highlight w:val="none"/>
        </w:rPr>
        <w:t>室，逾期送达的或者未送达指定地点的文件，不予受理。</w:t>
      </w:r>
    </w:p>
    <w:p>
      <w:pPr>
        <w:autoSpaceDE w:val="0"/>
        <w:spacing w:line="400" w:lineRule="exact"/>
        <w:jc w:val="both"/>
        <w:rPr>
          <w:rFonts w:ascii="宋体" w:hAnsi="宋体"/>
          <w:sz w:val="24"/>
          <w:highlight w:val="none"/>
        </w:rPr>
      </w:pPr>
      <w:r>
        <w:rPr>
          <w:rFonts w:hint="eastAsia" w:ascii="宋体" w:hAnsi="宋体"/>
          <w:sz w:val="24"/>
          <w:highlight w:val="none"/>
        </w:rPr>
        <w:t>（二）供应商若对本项目采购需求、资格要求等有疑问的，应当于 202</w:t>
      </w:r>
      <w:r>
        <w:rPr>
          <w:rFonts w:hint="eastAsia" w:ascii="宋体" w:hAnsi="宋体"/>
          <w:sz w:val="24"/>
          <w:highlight w:val="none"/>
          <w:lang w:val="en-US" w:eastAsia="zh-CN"/>
        </w:rPr>
        <w:t>3</w:t>
      </w:r>
      <w:r>
        <w:rPr>
          <w:rFonts w:hint="eastAsia" w:ascii="宋体" w:hAnsi="宋体"/>
          <w:sz w:val="24"/>
          <w:highlight w:val="none"/>
        </w:rPr>
        <w:t xml:space="preserve"> 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w:t>
      </w:r>
      <w:r>
        <w:rPr>
          <w:rFonts w:hint="eastAsia" w:ascii="宋体" w:hAnsi="宋体"/>
          <w:sz w:val="24"/>
          <w:highlight w:val="none"/>
        </w:rPr>
        <w:t>0分前向采购人提出澄清要求。</w:t>
      </w:r>
    </w:p>
    <w:p>
      <w:pPr>
        <w:pStyle w:val="7"/>
        <w:jc w:val="both"/>
      </w:pPr>
      <w:r>
        <w:rPr>
          <w:rFonts w:hint="eastAsia"/>
        </w:rPr>
        <w:t>八、发布</w:t>
      </w:r>
      <w:r>
        <w:rPr>
          <w:rFonts w:hint="eastAsia" w:ascii="黑体" w:hAnsi="黑体"/>
        </w:rPr>
        <w:t>公告的</w:t>
      </w:r>
      <w:r>
        <w:rPr>
          <w:rFonts w:hint="eastAsia"/>
        </w:rPr>
        <w:t>媒介</w:t>
      </w:r>
    </w:p>
    <w:p>
      <w:pPr>
        <w:autoSpaceDE w:val="0"/>
        <w:spacing w:line="400" w:lineRule="exact"/>
        <w:jc w:val="both"/>
        <w:rPr>
          <w:rFonts w:ascii="宋体" w:hAnsi="宋体"/>
          <w:sz w:val="24"/>
        </w:rPr>
      </w:pPr>
      <w:r>
        <w:rPr>
          <w:rFonts w:hint="eastAsia" w:ascii="宋体" w:hAnsi="宋体"/>
          <w:sz w:val="24"/>
        </w:rPr>
        <w:t>本次采购公告发布的媒介:中国招标响应公共服务平台（http：//www.cebpubservice.com）、湖南省湘水集团有限公司网站（http：//www.hnsxsjt.com）、湖南省港务集团有限公司（http://www.hnsgwjt.com）上发布。</w:t>
      </w:r>
    </w:p>
    <w:p>
      <w:pPr>
        <w:pStyle w:val="7"/>
        <w:jc w:val="both"/>
      </w:pPr>
      <w:bookmarkStart w:id="4" w:name="_Toc76635692"/>
      <w:bookmarkStart w:id="5" w:name="_Toc512257471"/>
      <w:bookmarkStart w:id="6" w:name="_Toc77254104"/>
      <w:bookmarkStart w:id="7" w:name="_Toc79596547"/>
      <w:r>
        <w:rPr>
          <w:rFonts w:hint="eastAsia"/>
        </w:rPr>
        <w:t>九、</w:t>
      </w:r>
      <w:r>
        <w:t>监督</w:t>
      </w:r>
      <w:bookmarkEnd w:id="4"/>
      <w:bookmarkEnd w:id="5"/>
      <w:bookmarkEnd w:id="6"/>
      <w:r>
        <w:rPr>
          <w:rFonts w:hint="eastAsia"/>
        </w:rPr>
        <w:t>部门</w:t>
      </w:r>
      <w:bookmarkEnd w:id="7"/>
    </w:p>
    <w:p>
      <w:pPr>
        <w:autoSpaceDE w:val="0"/>
        <w:spacing w:line="400" w:lineRule="exact"/>
        <w:jc w:val="both"/>
        <w:rPr>
          <w:rFonts w:ascii="宋体" w:hAnsi="宋体"/>
          <w:sz w:val="24"/>
        </w:rPr>
      </w:pPr>
      <w:r>
        <w:rPr>
          <w:rFonts w:hint="eastAsia" w:ascii="宋体" w:hAnsi="宋体"/>
          <w:sz w:val="24"/>
        </w:rPr>
        <w:t>本次采购监督部门为岳阳城陵矶港务有限责任公司纪律检查委员会</w:t>
      </w:r>
    </w:p>
    <w:p>
      <w:pPr>
        <w:autoSpaceDE w:val="0"/>
        <w:spacing w:line="400" w:lineRule="exact"/>
        <w:jc w:val="both"/>
        <w:rPr>
          <w:rFonts w:ascii="宋体" w:hAnsi="宋体"/>
          <w:sz w:val="24"/>
        </w:rPr>
      </w:pPr>
      <w:r>
        <w:rPr>
          <w:rFonts w:hint="eastAsia" w:ascii="宋体" w:hAnsi="宋体"/>
          <w:sz w:val="24"/>
        </w:rPr>
        <w:t xml:space="preserve">电话：0730-3050160 </w:t>
      </w:r>
    </w:p>
    <w:p>
      <w:pPr>
        <w:pStyle w:val="7"/>
        <w:jc w:val="both"/>
        <w:rPr>
          <w:rFonts w:ascii="Arial" w:hAnsi="Arial"/>
        </w:rPr>
      </w:pPr>
      <w:r>
        <w:rPr>
          <w:rFonts w:hint="eastAsia" w:ascii="黑体" w:hAnsi="黑体"/>
        </w:rPr>
        <w:t>十、联系方式</w:t>
      </w:r>
    </w:p>
    <w:p>
      <w:pPr>
        <w:autoSpaceDE w:val="0"/>
        <w:spacing w:line="400" w:lineRule="exact"/>
        <w:jc w:val="both"/>
        <w:rPr>
          <w:rFonts w:ascii="宋体" w:hAnsi="宋体"/>
          <w:sz w:val="24"/>
        </w:rPr>
      </w:pPr>
      <w:r>
        <w:rPr>
          <w:rFonts w:hint="eastAsia" w:ascii="宋体" w:hAnsi="宋体"/>
          <w:sz w:val="24"/>
        </w:rPr>
        <w:t xml:space="preserve">采 购 人: 岳阳城陵矶港务有限责任公司             </w:t>
      </w:r>
    </w:p>
    <w:p>
      <w:pPr>
        <w:autoSpaceDE w:val="0"/>
        <w:spacing w:line="400" w:lineRule="exact"/>
        <w:jc w:val="both"/>
        <w:rPr>
          <w:rFonts w:ascii="宋体" w:hAnsi="宋体"/>
          <w:sz w:val="24"/>
          <w:highlight w:val="none"/>
        </w:rPr>
      </w:pPr>
      <w:r>
        <w:rPr>
          <w:rFonts w:hint="eastAsia" w:ascii="宋体" w:hAnsi="宋体"/>
          <w:sz w:val="24"/>
        </w:rPr>
        <w:t>地    址</w:t>
      </w:r>
      <w:r>
        <w:rPr>
          <w:rFonts w:hint="eastAsia" w:ascii="宋体" w:hAnsi="宋体"/>
          <w:sz w:val="24"/>
          <w:highlight w:val="none"/>
        </w:rPr>
        <w:t>: 岳阳市岳阳楼区城陵矶长江路2号城港公司办公楼3</w:t>
      </w:r>
      <w:r>
        <w:rPr>
          <w:rFonts w:hint="eastAsia" w:ascii="宋体" w:hAnsi="宋体"/>
          <w:sz w:val="24"/>
          <w:highlight w:val="none"/>
          <w:lang w:val="en-US" w:eastAsia="zh-CN"/>
        </w:rPr>
        <w:t>22</w:t>
      </w:r>
      <w:r>
        <w:rPr>
          <w:rFonts w:hint="eastAsia" w:ascii="宋体" w:hAnsi="宋体"/>
          <w:sz w:val="24"/>
          <w:highlight w:val="none"/>
        </w:rPr>
        <w:t xml:space="preserve">室             </w:t>
      </w:r>
    </w:p>
    <w:p>
      <w:pPr>
        <w:autoSpaceDE w:val="0"/>
        <w:spacing w:line="400" w:lineRule="exact"/>
        <w:jc w:val="both"/>
        <w:rPr>
          <w:rFonts w:hint="eastAsia" w:ascii="宋体" w:hAnsi="宋体"/>
          <w:sz w:val="24"/>
          <w:highlight w:val="none"/>
          <w:lang w:val="en-US" w:eastAsia="zh-CN"/>
        </w:rPr>
      </w:pPr>
      <w:bookmarkStart w:id="8" w:name="_Toc234832861"/>
      <w:bookmarkStart w:id="9" w:name="_Toc517787494"/>
      <w:r>
        <w:rPr>
          <w:rFonts w:hint="eastAsia" w:ascii="宋体" w:hAnsi="宋体"/>
          <w:sz w:val="24"/>
          <w:highlight w:val="none"/>
        </w:rPr>
        <w:t xml:space="preserve">联 系 人: </w:t>
      </w:r>
      <w:r>
        <w:rPr>
          <w:rFonts w:hint="eastAsia" w:ascii="宋体" w:hAnsi="宋体"/>
          <w:sz w:val="24"/>
          <w:highlight w:val="none"/>
          <w:lang w:val="en-US" w:eastAsia="zh-CN"/>
        </w:rPr>
        <w:t>莫颖军</w:t>
      </w:r>
    </w:p>
    <w:p>
      <w:pPr>
        <w:autoSpaceDE w:val="0"/>
        <w:spacing w:line="400" w:lineRule="exact"/>
        <w:jc w:val="both"/>
        <w:rPr>
          <w:rFonts w:hint="default" w:ascii="宋体" w:hAnsi="宋体" w:eastAsia="宋体"/>
          <w:sz w:val="24"/>
          <w:highlight w:val="none"/>
          <w:lang w:val="en-US" w:eastAsia="zh-CN"/>
        </w:rPr>
      </w:pPr>
      <w:r>
        <w:rPr>
          <w:rFonts w:hint="eastAsia" w:ascii="宋体" w:hAnsi="宋体"/>
          <w:sz w:val="24"/>
          <w:highlight w:val="none"/>
        </w:rPr>
        <w:t>电    话: 1380730</w:t>
      </w:r>
      <w:r>
        <w:rPr>
          <w:rFonts w:hint="eastAsia" w:ascii="宋体" w:hAnsi="宋体"/>
          <w:sz w:val="24"/>
          <w:highlight w:val="none"/>
          <w:lang w:val="en-US" w:eastAsia="zh-CN"/>
        </w:rPr>
        <w:t>1865</w:t>
      </w:r>
    </w:p>
    <w:p>
      <w:pPr>
        <w:rPr>
          <w:rFonts w:ascii="黑体" w:hAnsi="黑体" w:eastAsia="黑体"/>
          <w:sz w:val="32"/>
          <w:szCs w:val="32"/>
          <w:highlight w:val="yellow"/>
        </w:rPr>
      </w:pPr>
      <w:r>
        <w:rPr>
          <w:rFonts w:hint="eastAsia" w:ascii="黑体" w:hAnsi="黑体" w:eastAsia="黑体"/>
          <w:sz w:val="32"/>
          <w:szCs w:val="32"/>
          <w:highlight w:val="yellow"/>
        </w:rPr>
        <w:br w:type="page"/>
      </w:r>
    </w:p>
    <w:p>
      <w:pPr>
        <w:autoSpaceDE w:val="0"/>
        <w:spacing w:line="400" w:lineRule="exact"/>
        <w:jc w:val="center"/>
        <w:outlineLvl w:val="0"/>
        <w:rPr>
          <w:rFonts w:ascii="黑体" w:hAnsi="黑体" w:eastAsia="黑体"/>
          <w:sz w:val="32"/>
          <w:szCs w:val="32"/>
        </w:rPr>
      </w:pPr>
      <w:bookmarkStart w:id="10" w:name="_Toc23523"/>
      <w:bookmarkStart w:id="11" w:name="_Toc12457"/>
      <w:r>
        <w:rPr>
          <w:rFonts w:hint="eastAsia" w:ascii="黑体" w:hAnsi="黑体" w:eastAsia="黑体"/>
          <w:sz w:val="32"/>
          <w:szCs w:val="32"/>
        </w:rPr>
        <w:t>第二章  供应商须知</w:t>
      </w:r>
      <w:bookmarkEnd w:id="8"/>
      <w:bookmarkEnd w:id="9"/>
      <w:bookmarkEnd w:id="10"/>
      <w:bookmarkEnd w:id="11"/>
    </w:p>
    <w:p>
      <w:pPr>
        <w:pStyle w:val="4"/>
        <w:spacing w:before="240" w:after="240" w:line="600" w:lineRule="exact"/>
        <w:jc w:val="center"/>
        <w:rPr>
          <w:rFonts w:ascii="仿宋" w:hAnsi="仿宋" w:eastAsia="仿宋" w:cs="仿宋"/>
          <w:sz w:val="30"/>
          <w:szCs w:val="30"/>
        </w:rPr>
      </w:pPr>
      <w:bookmarkStart w:id="12" w:name="_Toc21813"/>
      <w:bookmarkStart w:id="13" w:name="_Toc517787495"/>
      <w:bookmarkStart w:id="14" w:name="_Toc3471"/>
      <w:bookmarkStart w:id="15" w:name="_Toc234832862"/>
      <w:r>
        <w:rPr>
          <w:rFonts w:hint="eastAsia" w:ascii="仿宋" w:hAnsi="仿宋" w:eastAsia="仿宋" w:cs="仿宋"/>
          <w:sz w:val="30"/>
          <w:szCs w:val="30"/>
        </w:rPr>
        <w:t>供应商须知前附表</w:t>
      </w:r>
      <w:bookmarkEnd w:id="12"/>
      <w:bookmarkEnd w:id="13"/>
      <w:bookmarkEnd w:id="14"/>
      <w:bookmarkEnd w:id="15"/>
    </w:p>
    <w:tbl>
      <w:tblPr>
        <w:tblStyle w:val="39"/>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highlight w:val="none"/>
                <w:lang w:val="en-US" w:eastAsia="zh-CN"/>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 xml:space="preserve">不召开                                          </w:t>
            </w:r>
          </w:p>
        </w:tc>
      </w:tr>
      <w:tr>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本项目不允许分包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w:t>
            </w:r>
            <w:r>
              <w:rPr>
                <w:rFonts w:hint="eastAsia" w:cs="仿宋" w:asciiTheme="minorEastAsia" w:hAnsiTheme="minorEastAsia" w:eastAsiaTheme="minorEastAsia"/>
                <w:sz w:val="24"/>
                <w:u w:val="single"/>
              </w:rPr>
              <w:t>细微偏差</w:t>
            </w:r>
            <w:r>
              <w:rPr>
                <w:rFonts w:hint="eastAsia" w:cs="仿宋" w:asciiTheme="minorEastAsia" w:hAnsiTheme="minorEastAsia" w:eastAsiaTheme="minorEastAsia"/>
                <w:sz w:val="24"/>
              </w:rPr>
              <w:t>，响应</w:t>
            </w:r>
            <w:r>
              <w:rPr>
                <w:rFonts w:hint="eastAsia" w:ascii="宋体" w:hAnsi="宋体" w:cs="宋体"/>
                <w:sz w:val="24"/>
              </w:rPr>
              <w:t>文件在实质上响应招标文件要求，但存在含义不明确的内容、明显文字或计算错误等情况，此条件下允许供应商进行澄清解释。</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u w:val="single"/>
              </w:rPr>
              <w:t>2</w:t>
            </w:r>
            <w:r>
              <w:rPr>
                <w:rFonts w:hint="eastAsia" w:cs="仿宋" w:asciiTheme="minorEastAsia" w:hAnsiTheme="minorEastAsia" w:eastAsiaTheme="minorEastAsia"/>
                <w:sz w:val="24"/>
              </w:rPr>
              <w:t xml:space="preserve">项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资料名称：采购人对采购文件的澄清、通知等文件（如有）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截止时间：</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u w:val="single"/>
                <w:lang w:val="en-US" w:eastAsia="zh-CN"/>
              </w:rPr>
              <w:t>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u w:val="single"/>
                <w:lang w:val="en-US" w:eastAsia="zh-CN"/>
              </w:rPr>
              <w:t>3</w:t>
            </w:r>
            <w:r>
              <w:rPr>
                <w:rFonts w:hint="eastAsia" w:ascii="宋体" w:hAnsi="宋体"/>
                <w:sz w:val="24"/>
                <w:highlight w:val="none"/>
                <w:u w:val="single"/>
              </w:rPr>
              <w:t>0</w:t>
            </w:r>
            <w:r>
              <w:rPr>
                <w:rFonts w:hint="eastAsia" w:ascii="宋体" w:hAnsi="宋体"/>
                <w:sz w:val="24"/>
                <w:highlight w:val="none"/>
              </w:rPr>
              <w:t>分前</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确认的最晚时间：收到采购人的澄清文件后24小时之内。（以采购人澄清文件</w:t>
            </w:r>
            <w:r>
              <w:rPr>
                <w:rFonts w:hint="eastAsia" w:cs="仿宋" w:asciiTheme="minorEastAsia" w:hAnsiTheme="minorEastAsia" w:eastAsiaTheme="minorEastAsia"/>
                <w:sz w:val="24"/>
                <w:lang w:val="en-US" w:eastAsia="zh-CN"/>
              </w:rPr>
              <w:t>收到</w:t>
            </w:r>
            <w:r>
              <w:rPr>
                <w:rFonts w:hint="eastAsia" w:cs="仿宋" w:asciiTheme="minorEastAsia" w:hAnsiTheme="minorEastAsia" w:eastAsiaTheme="minorEastAsia"/>
                <w:sz w:val="24"/>
              </w:rPr>
              <w:t>的时间为准）</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u w:val="single"/>
              </w:rPr>
              <w:t>以书面形式进行确认</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资料名称：采购人对采购文件的澄清、通知等文件（如有）                                                  </w:t>
            </w:r>
          </w:p>
        </w:tc>
      </w:tr>
      <w:tr>
        <w:tblPrEx>
          <w:tblCellMar>
            <w:top w:w="0" w:type="dxa"/>
            <w:left w:w="108" w:type="dxa"/>
            <w:bottom w:w="0" w:type="dxa"/>
            <w:right w:w="108" w:type="dxa"/>
          </w:tblCellMar>
        </w:tblPrEx>
        <w:trPr>
          <w:trHeight w:val="42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采购标的数量增减幅度：无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sz w:val="24"/>
              </w:rPr>
            </w:pPr>
            <w:r>
              <w:rPr>
                <w:rStyle w:val="42"/>
                <w:rFonts w:hint="eastAsia" w:asciiTheme="minorEastAsia" w:hAnsiTheme="minorEastAsia" w:eastAsiaTheme="minorEastAsia"/>
                <w:b w:val="0"/>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sz w:val="24"/>
              </w:rPr>
            </w:pPr>
            <w:r>
              <w:rPr>
                <w:rStyle w:val="42"/>
                <w:rFonts w:hint="eastAsia" w:asciiTheme="minorEastAsia" w:hAnsiTheme="minorEastAsia" w:eastAsiaTheme="minorEastAsia"/>
                <w:b w:val="0"/>
                <w:sz w:val="24"/>
              </w:rPr>
              <w:sym w:font="Wingdings 2" w:char="0052"/>
            </w:r>
            <w:r>
              <w:rPr>
                <w:rStyle w:val="42"/>
                <w:rFonts w:hint="eastAsia" w:asciiTheme="minorEastAsia" w:hAnsiTheme="minorEastAsia" w:eastAsiaTheme="minorEastAsia"/>
                <w:b w:val="0"/>
                <w:sz w:val="24"/>
              </w:rPr>
              <w:t>有，最高限价或其计算方法：</w:t>
            </w:r>
            <w:r>
              <w:rPr>
                <w:rFonts w:hint="eastAsia" w:asciiTheme="minorEastAsia" w:hAnsiTheme="minorEastAsia" w:eastAsiaTheme="minorEastAsia" w:cstheme="minorEastAsia"/>
                <w:sz w:val="24"/>
                <w:highlight w:val="none"/>
                <w:lang w:val="en-US" w:eastAsia="zh-CN"/>
              </w:rPr>
              <w:t>叁拾捌</w:t>
            </w:r>
            <w:r>
              <w:rPr>
                <w:rFonts w:hint="eastAsia" w:asciiTheme="minorEastAsia" w:hAnsiTheme="minorEastAsia" w:eastAsiaTheme="minorEastAsia" w:cstheme="minorEastAsia"/>
                <w:sz w:val="24"/>
                <w:highlight w:val="none"/>
              </w:rPr>
              <w:t>万</w:t>
            </w:r>
            <w:r>
              <w:rPr>
                <w:rFonts w:hint="eastAsia" w:asciiTheme="minorEastAsia" w:hAnsiTheme="minorEastAsia" w:eastAsiaTheme="minorEastAsia" w:cstheme="minorEastAsia"/>
                <w:sz w:val="24"/>
                <w:highlight w:val="none"/>
                <w:lang w:val="en-US" w:eastAsia="zh-CN"/>
              </w:rPr>
              <w:t>捌千捌佰</w:t>
            </w:r>
            <w:r>
              <w:rPr>
                <w:rFonts w:hint="eastAsia" w:asciiTheme="minorEastAsia" w:hAnsiTheme="minorEastAsia" w:eastAsiaTheme="minorEastAsia" w:cstheme="minorEastAsia"/>
                <w:sz w:val="24"/>
                <w:highlight w:val="none"/>
              </w:rPr>
              <w:t>元整（小写：￥</w:t>
            </w:r>
            <w:r>
              <w:rPr>
                <w:rFonts w:hint="eastAsia" w:asciiTheme="minorEastAsia" w:hAnsiTheme="minorEastAsia" w:eastAsiaTheme="minorEastAsia" w:cstheme="minorEastAsia"/>
                <w:sz w:val="24"/>
                <w:highlight w:val="none"/>
                <w:lang w:val="en-US" w:eastAsia="zh-CN"/>
              </w:rPr>
              <w:t>388800</w:t>
            </w:r>
            <w:r>
              <w:rPr>
                <w:rFonts w:hint="eastAsia" w:asciiTheme="minorEastAsia" w:hAnsiTheme="minorEastAsia" w:eastAsiaTheme="minorEastAsia" w:cstheme="minorEastAsia"/>
                <w:sz w:val="24"/>
                <w:highlight w:val="none"/>
              </w:rPr>
              <w:t>.00）</w:t>
            </w:r>
            <w:r>
              <w:rPr>
                <w:rStyle w:val="42"/>
                <w:rFonts w:hint="eastAsia" w:asciiTheme="minorEastAsia" w:hAnsiTheme="minorEastAsia" w:eastAsiaTheme="minorEastAsia"/>
                <w:b w:val="0"/>
                <w:sz w:val="24"/>
                <w:highlight w:val="none"/>
              </w:rPr>
              <w:t>，含</w:t>
            </w:r>
            <w:r>
              <w:rPr>
                <w:rStyle w:val="42"/>
                <w:rFonts w:hint="eastAsia" w:asciiTheme="minorEastAsia" w:hAnsiTheme="minorEastAsia" w:eastAsiaTheme="minorEastAsia"/>
                <w:b w:val="0"/>
                <w:sz w:val="24"/>
                <w:highlight w:val="none"/>
                <w:lang w:val="en-US" w:eastAsia="zh-CN"/>
              </w:rPr>
              <w:t>3%</w:t>
            </w:r>
            <w:r>
              <w:rPr>
                <w:rStyle w:val="42"/>
                <w:rFonts w:hint="eastAsia" w:asciiTheme="minorEastAsia" w:hAnsiTheme="minorEastAsia" w:eastAsiaTheme="minorEastAsia"/>
                <w:b w:val="0"/>
                <w:sz w:val="24"/>
                <w:highlight w:val="none"/>
              </w:rPr>
              <w:t>增值税税率 ，</w:t>
            </w:r>
            <w:r>
              <w:rPr>
                <w:rFonts w:hint="eastAsia" w:ascii="宋体" w:hAnsi="宋体"/>
                <w:sz w:val="24"/>
              </w:rPr>
              <w:t>单价包含了劳务公司管理人员工资、人员工资、伙食补贴含零点班加餐费、社保、税金、工伤保险费、劳保用品费、人员工伤赔付（安全风险)、部分作业工属具添置费、一年三节加班费、水电费及合同中所包含的所有成本费用</w:t>
            </w:r>
            <w:r>
              <w:rPr>
                <w:rFonts w:hint="eastAsia" w:ascii="宋体" w:hAnsi="宋体"/>
                <w:sz w:val="24"/>
                <w:highlight w:val="none"/>
              </w:rPr>
              <w:t>。</w:t>
            </w:r>
            <w:r>
              <w:rPr>
                <w:rStyle w:val="42"/>
                <w:rFonts w:hint="eastAsia" w:asciiTheme="minorEastAsia" w:hAnsiTheme="minorEastAsia" w:eastAsiaTheme="minorEastAsia"/>
                <w:b w:val="0"/>
                <w:sz w:val="24"/>
                <w:highlight w:val="none"/>
              </w:rPr>
              <w:t>报价人如提供其他税率的增值税票，询价人按</w:t>
            </w:r>
            <w:r>
              <w:rPr>
                <w:rStyle w:val="42"/>
                <w:rFonts w:hint="eastAsia" w:asciiTheme="minorEastAsia" w:hAnsiTheme="minorEastAsia" w:eastAsiaTheme="minorEastAsia"/>
                <w:b w:val="0"/>
                <w:sz w:val="24"/>
                <w:highlight w:val="none"/>
                <w:lang w:val="en-US" w:eastAsia="zh-CN"/>
              </w:rPr>
              <w:t>3%</w:t>
            </w:r>
            <w:r>
              <w:rPr>
                <w:rStyle w:val="42"/>
                <w:rFonts w:hint="eastAsia" w:asciiTheme="minorEastAsia" w:hAnsiTheme="minorEastAsia" w:eastAsiaTheme="minorEastAsia"/>
                <w:b w:val="0"/>
                <w:sz w:val="24"/>
                <w:highlight w:val="none"/>
              </w:rPr>
              <w:t xml:space="preserve">税率调整后参与排序。                     </w:t>
            </w:r>
            <w:r>
              <w:rPr>
                <w:rStyle w:val="42"/>
                <w:rFonts w:hint="eastAsia" w:asciiTheme="minorEastAsia" w:hAnsiTheme="minorEastAsia" w:eastAsiaTheme="minorEastAsia"/>
                <w:b w:val="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无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sz w:val="24"/>
              </w:rPr>
            </w:pPr>
            <w:r>
              <w:rPr>
                <w:rStyle w:val="42"/>
                <w:rFonts w:hint="eastAsia" w:asciiTheme="minorEastAsia" w:hAnsiTheme="minorEastAsia" w:eastAsiaTheme="minorEastAsia"/>
                <w:b w:val="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eastAsiaTheme="minorEastAsia"/>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适用。供应商应提供市场监管部门或其他行政机关颁发的可以合法开展</w:t>
            </w:r>
            <w:r>
              <w:rPr>
                <w:rFonts w:hint="eastAsia" w:cs="宋体" w:asciiTheme="minorEastAsia" w:hAnsiTheme="minorEastAsia" w:eastAsiaTheme="minorEastAsia"/>
                <w:sz w:val="24"/>
                <w:lang w:val="en-US" w:eastAsia="zh-CN"/>
              </w:rPr>
              <w:t>劳务服务</w:t>
            </w:r>
            <w:r>
              <w:rPr>
                <w:rFonts w:hint="eastAsia" w:cs="宋体" w:asciiTheme="minorEastAsia" w:hAnsiTheme="minorEastAsia" w:eastAsiaTheme="minorEastAsia"/>
                <w:sz w:val="24"/>
              </w:rPr>
              <w:t>业务的执照或证书。（需提供复印件并加盖公章）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Style w:val="42"/>
                <w:rFonts w:hint="eastAsia" w:asciiTheme="minorEastAsia" w:hAnsiTheme="minorEastAsia" w:eastAsiaTheme="minorEastAsia"/>
                <w:b w:val="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sz w:val="24"/>
              </w:rPr>
            </w:pPr>
            <w:r>
              <w:rPr>
                <w:rStyle w:val="42"/>
                <w:rFonts w:hint="eastAsia" w:asciiTheme="minorEastAsia" w:hAnsiTheme="minorEastAsia" w:eastAsiaTheme="minorEastAsia"/>
                <w:b w:val="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u w:val="single"/>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适用。供应商应提供近3年的类似项目情况表（格式见第六章“响应文件格式”五、资格审查资料（三）近年的类似项目情况表），以证明供应商具有承担本项目要求的业绩。近年是指递交响应文件截止日前3年，以甲方合同签署时间为准。</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业绩证明材料：</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合同/订单</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t>业绩证明材料种类要求：供应商须提供至少</w:t>
            </w:r>
            <w:r>
              <w:rPr>
                <w:rFonts w:hint="eastAsia" w:cs="宋体" w:asciiTheme="minorEastAsia" w:hAnsiTheme="minorEastAsia" w:eastAsiaTheme="minorEastAsia"/>
                <w:sz w:val="24"/>
                <w:u w:val="single"/>
              </w:rPr>
              <w:t>1</w:t>
            </w:r>
            <w:r>
              <w:rPr>
                <w:rFonts w:hint="eastAsia" w:cs="宋体" w:asciiTheme="minorEastAsia" w:hAnsiTheme="minorEastAsia" w:eastAsiaTheme="minorEastAsia"/>
                <w:sz w:val="24"/>
              </w:rPr>
              <w:t>个</w:t>
            </w:r>
            <w:r>
              <w:rPr>
                <w:rFonts w:hint="eastAsia" w:cs="宋体" w:asciiTheme="minorEastAsia" w:hAnsiTheme="minorEastAsia" w:eastAsiaTheme="minorEastAsia"/>
                <w:sz w:val="24"/>
                <w:lang w:val="en-US" w:eastAsia="zh-CN"/>
              </w:rPr>
              <w:t>劳务</w:t>
            </w:r>
            <w:r>
              <w:rPr>
                <w:rFonts w:hint="eastAsia" w:cs="宋体" w:asciiTheme="minorEastAsia" w:hAnsiTheme="minorEastAsia" w:eastAsiaTheme="minorEastAsia"/>
                <w:sz w:val="24"/>
              </w:rPr>
              <w:t>服务合同业绩证明材料</w:t>
            </w:r>
            <w:r>
              <w:rPr>
                <w:rFonts w:hint="eastAsia" w:cs="宋体" w:asciiTheme="minorEastAsia" w:hAnsiTheme="minorEastAsia" w:eastAsiaTheme="minorEastAsia"/>
                <w:b/>
                <w:bCs/>
                <w:sz w:val="24"/>
              </w:rPr>
              <w:t>，</w:t>
            </w:r>
            <w:r>
              <w:rPr>
                <w:rFonts w:hint="eastAsia" w:cs="宋体" w:asciiTheme="minorEastAsia" w:hAnsiTheme="minorEastAsia" w:eastAsiaTheme="minorEastAsia"/>
                <w:sz w:val="24"/>
              </w:rPr>
              <w:t>材料内容包含合同复印件。</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适用</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sz w:val="24"/>
              </w:rPr>
              <w:t>不适用</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应提供拟委任的主要人员汇总表和主要人员简历表（格式见第六章“响应文件格式”五、资格审查资料（四）拟委任的主要人员汇总表和（五）主要人员简历表）。供应商应填报满足第一章“采购公告”规定的项目负责人和其他主要人员的相关信息，并按如下要求提供相关证明文件：本项目至少要</w:t>
            </w:r>
            <w:r>
              <w:rPr>
                <w:rFonts w:hint="eastAsia" w:cs="宋体" w:asciiTheme="minorEastAsia" w:hAnsiTheme="minorEastAsia" w:eastAsiaTheme="minorEastAsia"/>
                <w:sz w:val="24"/>
                <w:lang w:val="en-US" w:eastAsia="zh-CN"/>
              </w:rPr>
              <w:t>12</w:t>
            </w:r>
            <w:r>
              <w:rPr>
                <w:rFonts w:hint="eastAsia" w:cs="宋体" w:asciiTheme="minorEastAsia" w:hAnsiTheme="minorEastAsia" w:eastAsiaTheme="minorEastAsia"/>
                <w:sz w:val="24"/>
              </w:rPr>
              <w:t>名</w:t>
            </w:r>
            <w:r>
              <w:rPr>
                <w:rFonts w:hint="eastAsia" w:cs="宋体" w:asciiTheme="minorEastAsia" w:hAnsiTheme="minorEastAsia" w:eastAsiaTheme="minorEastAsia"/>
                <w:sz w:val="24"/>
                <w:lang w:val="en-US" w:eastAsia="zh-CN"/>
              </w:rPr>
              <w:t>劳务</w:t>
            </w:r>
            <w:r>
              <w:rPr>
                <w:rFonts w:hint="eastAsia" w:cs="宋体" w:asciiTheme="minorEastAsia" w:hAnsiTheme="minorEastAsia" w:eastAsiaTheme="minorEastAsia"/>
                <w:sz w:val="24"/>
              </w:rPr>
              <w:t>人员，</w:t>
            </w:r>
            <w:r>
              <w:rPr>
                <w:rFonts w:hint="eastAsia" w:cs="宋体" w:asciiTheme="minorEastAsia" w:hAnsiTheme="minorEastAsia" w:eastAsiaTheme="minorEastAsia"/>
                <w:sz w:val="24"/>
                <w:lang w:val="en-US" w:eastAsia="zh-CN"/>
              </w:rPr>
              <w:t>性别：男、年龄18-60岁，身体健康，持相应特种机械操作许可证，现实表现良好，响应文件中应</w:t>
            </w:r>
            <w:r>
              <w:rPr>
                <w:rFonts w:hint="eastAsia" w:cs="宋体" w:asciiTheme="minorEastAsia" w:hAnsiTheme="minorEastAsia" w:eastAsiaTheme="minorEastAsia"/>
                <w:sz w:val="24"/>
              </w:rPr>
              <w:t>提供其近</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个月</w:t>
            </w:r>
            <w:r>
              <w:rPr>
                <w:rFonts w:hint="eastAsia" w:cs="宋体" w:asciiTheme="minorEastAsia" w:hAnsiTheme="minorEastAsia" w:eastAsiaTheme="minorEastAsia"/>
                <w:sz w:val="24"/>
                <w:lang w:val="en-US" w:eastAsia="zh-CN"/>
              </w:rPr>
              <w:t>购买工伤保险的</w:t>
            </w:r>
            <w:r>
              <w:rPr>
                <w:rFonts w:hint="eastAsia" w:cs="宋体" w:asciiTheme="minorEastAsia" w:hAnsiTheme="minorEastAsia" w:eastAsiaTheme="minorEastAsia"/>
                <w:sz w:val="24"/>
              </w:rPr>
              <w:t>复印件盖公章</w:t>
            </w:r>
            <w:r>
              <w:rPr>
                <w:rFonts w:hint="eastAsia" w:cs="宋体" w:asciiTheme="minorEastAsia" w:hAnsiTheme="minorEastAsia" w:eastAsiaTheme="minorEastAsia"/>
                <w:sz w:val="24"/>
                <w:lang w:val="en-US" w:eastAsia="zh-CN"/>
              </w:rPr>
              <w:t>或承诺在签合同前购买工伤保险的承诺函</w:t>
            </w:r>
            <w:r>
              <w:rPr>
                <w:rFonts w:hint="eastAsia" w:cs="宋体" w:asciiTheme="minorEastAsia" w:hAnsiTheme="minorEastAsia" w:eastAsiaTheme="minorEastAsia"/>
                <w:sz w:val="24"/>
              </w:rPr>
              <w:t>。</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5"/>
              <w:spacing w:after="0" w:line="312" w:lineRule="auto"/>
              <w:ind w:left="0" w:leftChars="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需要提供证明材料：提供</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承诺函</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．全国企业信用信息公示系统中未列入严重违法失信企业名单的网页截图，加盖公章</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提供证据或证明材料复印件或扫描件。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是否要求提供电子版响应文件：</w:t>
            </w: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不要求</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响应文件须密封</w:t>
            </w:r>
            <w:r>
              <w:rPr>
                <w:rFonts w:hint="eastAsia" w:cs="宋体" w:asciiTheme="minorEastAsia" w:hAnsiTheme="minorEastAsia" w:eastAsiaTheme="minorEastAsia"/>
                <w:sz w:val="24"/>
                <w:lang w:val="en-US" w:eastAsia="zh-CN"/>
              </w:rPr>
              <w:t>胶</w:t>
            </w:r>
            <w:r>
              <w:rPr>
                <w:rFonts w:hint="eastAsia" w:cs="宋体" w:asciiTheme="minorEastAsia" w:hAnsiTheme="minorEastAsia" w:eastAsiaTheme="minorEastAsia"/>
                <w:sz w:val="24"/>
              </w:rPr>
              <w:t>装，</w:t>
            </w:r>
            <w:r>
              <w:rPr>
                <w:rFonts w:hint="eastAsia" w:cs="宋体" w:asciiTheme="minorEastAsia" w:hAnsiTheme="minorEastAsia" w:eastAsiaTheme="minorEastAsia"/>
                <w:sz w:val="24"/>
                <w:lang w:val="en-US" w:eastAsia="zh-CN"/>
              </w:rPr>
              <w:t>壹正贰副，</w:t>
            </w:r>
            <w:r>
              <w:rPr>
                <w:rFonts w:hint="eastAsia" w:cs="宋体" w:asciiTheme="minorEastAsia" w:hAnsiTheme="minorEastAsia" w:eastAsiaTheme="minorEastAsia"/>
                <w:sz w:val="24"/>
              </w:rPr>
              <w:t>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适用，供应商名称：</w:t>
            </w:r>
            <w:r>
              <w:rPr>
                <w:rFonts w:hint="eastAsia" w:cs="宋体" w:asciiTheme="minorEastAsia" w:hAnsiTheme="minorEastAsia" w:eastAsiaTheme="minorEastAsia"/>
                <w:sz w:val="24"/>
                <w:highlight w:val="none"/>
                <w:u w:val="single"/>
              </w:rPr>
              <w:t>岳阳城陵矶港务有限责任公司</w:t>
            </w:r>
            <w:r>
              <w:rPr>
                <w:rFonts w:hint="eastAsia" w:cs="宋体" w:asciiTheme="minorEastAsia" w:hAnsiTheme="minorEastAsia" w:eastAsiaTheme="minorEastAsia"/>
                <w:sz w:val="24"/>
                <w:highlight w:val="none"/>
                <w:u w:val="single"/>
                <w:lang w:val="en-US" w:eastAsia="zh-CN"/>
              </w:rPr>
              <w:t>2023年铁运公司连接员劳务外包</w:t>
            </w:r>
            <w:r>
              <w:rPr>
                <w:rFonts w:hint="eastAsia" w:cs="宋体" w:asciiTheme="minorEastAsia" w:hAnsiTheme="minorEastAsia" w:eastAsiaTheme="minorEastAsia"/>
                <w:sz w:val="24"/>
                <w:highlight w:val="none"/>
                <w:u w:val="single"/>
              </w:rPr>
              <w:t>服务项目响</w:t>
            </w:r>
            <w:r>
              <w:rPr>
                <w:rFonts w:hint="eastAsia" w:ascii="宋体" w:hAnsi="宋体"/>
                <w:sz w:val="24"/>
                <w:highlight w:val="none"/>
                <w:u w:val="single"/>
              </w:rPr>
              <w:t>应文件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截止时间：</w:t>
            </w: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highlight w:val="none"/>
              </w:rPr>
              <w:t>递交响应文件的地点：</w:t>
            </w:r>
            <w:r>
              <w:rPr>
                <w:rFonts w:hint="eastAsia" w:cs="宋体" w:asciiTheme="minorEastAsia" w:hAnsiTheme="minorEastAsia" w:eastAsiaTheme="minorEastAsia"/>
                <w:sz w:val="24"/>
                <w:highlight w:val="none"/>
                <w:u w:val="single"/>
              </w:rPr>
              <w:t>岳阳市岳阳楼区城陵矶长江路2号城港公司办公楼3</w:t>
            </w:r>
            <w:r>
              <w:rPr>
                <w:rFonts w:hint="eastAsia" w:cs="宋体" w:asciiTheme="minorEastAsia" w:hAnsiTheme="minorEastAsia" w:eastAsiaTheme="minorEastAsia"/>
                <w:sz w:val="24"/>
                <w:highlight w:val="none"/>
                <w:u w:val="single"/>
                <w:lang w:val="en-US" w:eastAsia="zh-CN"/>
              </w:rPr>
              <w:t>22</w:t>
            </w:r>
            <w:r>
              <w:rPr>
                <w:rFonts w:hint="eastAsia" w:cs="宋体" w:asciiTheme="minorEastAsia" w:hAnsiTheme="minorEastAsia" w:eastAsiaTheme="minorEastAsia"/>
                <w:sz w:val="24"/>
                <w:highlight w:val="none"/>
                <w:u w:val="single"/>
              </w:rPr>
              <w:t>室</w:t>
            </w: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否</w:t>
            </w:r>
          </w:p>
        </w:tc>
      </w:tr>
      <w:tr>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湖南省港务集团有限公司六楼602开评标室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开启顺序：</w:t>
            </w:r>
            <w:r>
              <w:rPr>
                <w:rFonts w:hint="eastAsia" w:cs="宋体" w:asciiTheme="minorEastAsia" w:hAnsiTheme="minorEastAsia" w:eastAsiaTheme="minorEastAsia"/>
                <w:sz w:val="24"/>
                <w:u w:val="single"/>
              </w:rPr>
              <w:t xml:space="preserve">   随机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其他应公布的信息：</w:t>
            </w:r>
            <w:r>
              <w:rPr>
                <w:rFonts w:hint="eastAsia" w:cs="宋体" w:asciiTheme="minorEastAsia" w:hAnsiTheme="minorEastAsia" w:eastAsiaTheme="minorEastAsia"/>
                <w:sz w:val="24"/>
                <w:u w:val="singl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评审小组构成：评审小组由业主单位代表（1名）和评审专家（2名）组成，共</w:t>
            </w:r>
            <w:r>
              <w:rPr>
                <w:rFonts w:hint="eastAsia" w:cs="宋体" w:asciiTheme="minorEastAsia" w:hAnsiTheme="minorEastAsia" w:eastAsiaTheme="minorEastAsia"/>
                <w:sz w:val="24"/>
                <w:u w:val="single"/>
              </w:rPr>
              <w:t>3</w:t>
            </w:r>
            <w:r>
              <w:rPr>
                <w:rFonts w:hint="eastAsia" w:cs="宋体" w:asciiTheme="minorEastAsia" w:hAnsiTheme="minorEastAsia" w:eastAsiaTheme="minorEastAsia"/>
                <w:sz w:val="24"/>
              </w:rPr>
              <w:t>人。</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评审专家确定方式：</w:t>
            </w:r>
            <w:r>
              <w:rPr>
                <w:rFonts w:hint="eastAsia" w:cs="宋体" w:asciiTheme="minorEastAsia" w:hAnsiTheme="minorEastAsia" w:eastAsiaTheme="minorEastAsia"/>
                <w:sz w:val="24"/>
                <w:u w:val="single"/>
              </w:rPr>
              <w:t>在湖南省湘水集团有限公司综合评标专家库中随机抽取。</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b/>
                <w:bCs/>
                <w:sz w:val="24"/>
              </w:rPr>
              <w:t>2-3个</w:t>
            </w:r>
            <w:r>
              <w:rPr>
                <w:rFonts w:hint="eastAsia" w:cs="宋体" w:asciiTheme="minorEastAsia" w:hAnsiTheme="minorEastAsia" w:eastAsiaTheme="minorEastAsia"/>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中国招标投标公共服务平台（http：//www.cebpubservice.com；湖南省湘水集团有限公司网站（http：//www.hnsxsjt.com）；</w:t>
            </w:r>
            <w:r>
              <w:rPr>
                <w:rFonts w:hint="eastAsia" w:ascii="宋体" w:hAnsi="宋体"/>
                <w:sz w:val="24"/>
              </w:rPr>
              <w:t>湖南省港务集团公司网站（http://www.hnsgwjt.com/）</w:t>
            </w: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lang w:val="en-US" w:eastAsia="zh-CN"/>
              </w:rPr>
              <w:t>不</w:t>
            </w:r>
            <w:r>
              <w:rPr>
                <w:rFonts w:hint="eastAsia" w:cs="宋体" w:asciiTheme="minorEastAsia" w:hAnsiTheme="minorEastAsia" w:eastAsiaTheme="minorEastAsia"/>
                <w:sz w:val="24"/>
              </w:rPr>
              <w:t>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jc w:val="both"/>
              <w:rPr>
                <w:rFonts w:ascii="宋体" w:hAnsi="宋体"/>
                <w:sz w:val="24"/>
              </w:rPr>
            </w:pPr>
            <w:r>
              <w:rPr>
                <w:rFonts w:hint="eastAsia" w:ascii="宋体" w:hAnsi="宋体"/>
                <w:sz w:val="24"/>
              </w:rPr>
              <w:t>岳阳城陵矶港务有限责任公司纪律检查委员会</w:t>
            </w:r>
          </w:p>
          <w:p>
            <w:pPr>
              <w:autoSpaceDE w:val="0"/>
              <w:spacing w:line="400" w:lineRule="exact"/>
              <w:jc w:val="both"/>
              <w:rPr>
                <w:rFonts w:cs="宋体" w:asciiTheme="minorEastAsia" w:hAnsiTheme="minorEastAsia" w:eastAsiaTheme="minorEastAsia"/>
                <w:sz w:val="24"/>
              </w:rPr>
            </w:pPr>
            <w:r>
              <w:rPr>
                <w:rFonts w:hint="eastAsia" w:ascii="宋体" w:hAnsi="宋体"/>
                <w:sz w:val="24"/>
              </w:rPr>
              <w:t xml:space="preserve">电    话：0730-3050160 </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通信地址： 岳阳市岳阳楼区城陵矶长江路2号港务楼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不要求承担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1.供应商提供的相关证明文件若为复印件，必须加盖单位公章。</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2.本项目</w:t>
            </w:r>
            <w:r>
              <w:rPr>
                <w:rFonts w:hint="eastAsia" w:cs="宋体" w:asciiTheme="minorEastAsia" w:hAnsiTheme="minorEastAsia" w:eastAsiaTheme="minorEastAsia"/>
                <w:b/>
                <w:bCs/>
                <w:sz w:val="24"/>
                <w:u w:val="single"/>
              </w:rPr>
              <w:t>不接受</w:t>
            </w:r>
            <w:r>
              <w:rPr>
                <w:rFonts w:hint="eastAsia" w:cs="宋体" w:asciiTheme="minorEastAsia" w:hAnsiTheme="minorEastAsia" w:eastAsiaTheme="minorEastAsia"/>
                <w:sz w:val="24"/>
              </w:rPr>
              <w:t>联合体响应。</w:t>
            </w:r>
          </w:p>
        </w:tc>
      </w:tr>
    </w:tbl>
    <w:p>
      <w:pPr>
        <w:spacing w:line="240" w:lineRule="auto"/>
        <w:jc w:val="center"/>
        <w:rPr>
          <w:rFonts w:ascii="仿宋" w:hAnsi="仿宋" w:eastAsia="仿宋" w:cs="仿宋"/>
          <w:color w:val="auto"/>
          <w:sz w:val="30"/>
          <w:szCs w:val="30"/>
        </w:rPr>
      </w:pPr>
      <w:r>
        <w:rPr>
          <w:rFonts w:ascii="仿宋" w:hAnsi="仿宋" w:eastAsia="仿宋" w:cs="仿宋"/>
          <w:b/>
          <w:bCs/>
          <w:sz w:val="30"/>
          <w:szCs w:val="30"/>
        </w:rPr>
        <w:br w:type="page"/>
      </w:r>
      <w:r>
        <w:rPr>
          <w:rFonts w:hint="eastAsia" w:ascii="华文中宋" w:hAnsi="华文中宋" w:eastAsia="华文中宋" w:cs="仿宋"/>
          <w:b/>
          <w:bCs/>
          <w:color w:val="auto"/>
          <w:sz w:val="30"/>
          <w:szCs w:val="30"/>
        </w:rPr>
        <w:t>第二</w:t>
      </w:r>
      <w:r>
        <w:rPr>
          <w:rFonts w:hint="eastAsia" w:ascii="华文中宋" w:hAnsi="华文中宋" w:eastAsia="华文中宋" w:cs="仿宋"/>
          <w:b/>
          <w:bCs/>
          <w:color w:val="auto"/>
          <w:sz w:val="30"/>
          <w:szCs w:val="30"/>
          <w:lang w:val="en-US" w:eastAsia="zh-CN"/>
        </w:rPr>
        <w:t>节</w:t>
      </w:r>
      <w:r>
        <w:rPr>
          <w:rFonts w:hint="eastAsia" w:ascii="华文中宋" w:hAnsi="华文中宋" w:eastAsia="华文中宋" w:cs="仿宋"/>
          <w:b/>
          <w:bCs/>
          <w:color w:val="auto"/>
          <w:sz w:val="30"/>
          <w:szCs w:val="30"/>
        </w:rPr>
        <w:t xml:space="preserve"> 供应商须知正文</w:t>
      </w:r>
    </w:p>
    <w:p>
      <w:pPr>
        <w:adjustRightInd w:val="0"/>
        <w:snapToGrid w:val="0"/>
        <w:spacing w:before="120" w:beforeLines="50" w:after="120" w:afterLines="50" w:line="312" w:lineRule="auto"/>
        <w:jc w:val="both"/>
        <w:rPr>
          <w:rFonts w:ascii="宋体" w:hAnsi="宋体" w:cs="仿宋"/>
          <w:b/>
          <w:bCs/>
          <w:color w:val="auto"/>
          <w:sz w:val="24"/>
        </w:rPr>
      </w:pPr>
      <w:r>
        <w:rPr>
          <w:rFonts w:hint="eastAsia" w:ascii="宋体" w:hAnsi="宋体" w:cs="仿宋"/>
          <w:b/>
          <w:bCs/>
          <w:color w:val="auto"/>
          <w:sz w:val="24"/>
        </w:rPr>
        <w:t>1 总则</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1.1采购方法和评审办法</w:t>
      </w:r>
    </w:p>
    <w:p>
      <w:pPr>
        <w:pStyle w:val="71"/>
        <w:spacing w:before="120" w:after="120" w:line="312" w:lineRule="auto"/>
        <w:ind w:left="426" w:firstLine="48" w:firstLineChars="20"/>
        <w:jc w:val="both"/>
        <w:rPr>
          <w:rFonts w:ascii="宋体" w:hAnsi="宋体" w:eastAsia="宋体" w:cs="仿宋"/>
          <w:color w:val="auto"/>
          <w:sz w:val="24"/>
          <w:szCs w:val="24"/>
        </w:rPr>
      </w:pPr>
      <w:r>
        <w:rPr>
          <w:rFonts w:hint="eastAsia" w:ascii="宋体" w:hAnsi="宋体" w:eastAsia="宋体" w:cs="仿宋"/>
          <w:color w:val="auto"/>
          <w:sz w:val="24"/>
          <w:szCs w:val="24"/>
        </w:rPr>
        <w:t>本项目采用供应商须知前附表规定的采购方式和评审办法。</w:t>
      </w:r>
    </w:p>
    <w:p>
      <w:pPr>
        <w:pStyle w:val="65"/>
        <w:spacing w:line="312" w:lineRule="auto"/>
        <w:ind w:firstLine="0" w:firstLineChars="0"/>
        <w:rPr>
          <w:rFonts w:hAnsi="宋体" w:eastAsia="宋体" w:cs="仿宋"/>
          <w:color w:val="auto"/>
          <w:sz w:val="24"/>
          <w:szCs w:val="24"/>
        </w:rPr>
      </w:pPr>
      <w:r>
        <w:rPr>
          <w:rFonts w:hint="eastAsia" w:hAnsi="宋体" w:eastAsia="宋体" w:cs="仿宋"/>
          <w:color w:val="auto"/>
          <w:sz w:val="24"/>
          <w:szCs w:val="24"/>
        </w:rPr>
        <w:t>1.1.1采购方法</w:t>
      </w:r>
    </w:p>
    <w:p>
      <w:pPr>
        <w:pStyle w:val="65"/>
        <w:spacing w:line="312" w:lineRule="auto"/>
        <w:ind w:firstLine="453" w:firstLineChars="189"/>
        <w:rPr>
          <w:rFonts w:hAnsi="宋体" w:eastAsia="宋体" w:cs="仿宋"/>
          <w:color w:val="auto"/>
          <w:sz w:val="24"/>
          <w:szCs w:val="24"/>
        </w:rPr>
      </w:pPr>
      <w:r>
        <w:rPr>
          <w:rFonts w:hint="eastAsia" w:hAnsi="宋体" w:eastAsia="宋体" w:cs="仿宋"/>
          <w:color w:val="auto"/>
          <w:sz w:val="24"/>
          <w:szCs w:val="24"/>
        </w:rPr>
        <w:t>询价采购，是指按照规定程序就采购项目向符合资格要求的供应商进行询价，通过评审、比较确定成交供应商的采购方式。</w:t>
      </w:r>
    </w:p>
    <w:p>
      <w:pPr>
        <w:pStyle w:val="65"/>
        <w:spacing w:line="312" w:lineRule="auto"/>
        <w:ind w:firstLine="0" w:firstLineChars="0"/>
        <w:rPr>
          <w:rFonts w:hAnsi="宋体" w:eastAsia="宋体" w:cs="仿宋"/>
          <w:color w:val="auto"/>
          <w:sz w:val="24"/>
          <w:szCs w:val="24"/>
        </w:rPr>
      </w:pPr>
      <w:r>
        <w:rPr>
          <w:rFonts w:hint="eastAsia" w:hAnsi="宋体" w:eastAsia="宋体" w:cs="仿宋"/>
          <w:color w:val="auto"/>
          <w:sz w:val="24"/>
          <w:szCs w:val="24"/>
        </w:rPr>
        <w:t>1.1.2评审办法</w:t>
      </w:r>
    </w:p>
    <w:p>
      <w:pPr>
        <w:pStyle w:val="65"/>
        <w:spacing w:line="312" w:lineRule="auto"/>
        <w:ind w:firstLine="453" w:firstLineChars="189"/>
        <w:rPr>
          <w:rFonts w:hint="eastAsia" w:hAnsi="宋体" w:eastAsia="宋体" w:cs="仿宋"/>
          <w:color w:val="auto"/>
          <w:sz w:val="24"/>
          <w:szCs w:val="24"/>
        </w:rPr>
      </w:pPr>
      <w:r>
        <w:rPr>
          <w:rFonts w:hint="eastAsia" w:hAnsi="宋体" w:eastAsia="宋体" w:cs="仿宋"/>
          <w:color w:val="auto"/>
          <w:sz w:val="24"/>
          <w:szCs w:val="24"/>
        </w:rPr>
        <w:t>最低价法，是指在资质、业绩、信誉等条件均满足询价文件要求的前提下，按单项或总价价格最低原则确定成交供应商。包括同质比价法和同价比质法。</w:t>
      </w:r>
    </w:p>
    <w:p>
      <w:pPr>
        <w:adjustRightInd w:val="0"/>
        <w:snapToGrid w:val="0"/>
        <w:ind w:firstLine="453" w:firstLineChars="189"/>
        <w:rPr>
          <w:rFonts w:hint="eastAsia" w:hAnsi="宋体" w:eastAsia="宋体" w:cs="仿宋"/>
          <w:color w:val="auto"/>
          <w:sz w:val="24"/>
          <w:szCs w:val="24"/>
        </w:rPr>
      </w:pPr>
      <w:r>
        <w:rPr>
          <w:rFonts w:hint="eastAsia" w:ascii="宋体" w:hAnsi="宋体" w:cs="仿宋"/>
          <w:color w:val="auto"/>
          <w:sz w:val="24"/>
          <w:lang w:val="en-US" w:eastAsia="zh-CN"/>
        </w:rPr>
        <w:t>同质比价法，遵循最低价法评审原则，在资质、业绩、信誉等条件均满足询价文件要求的前提下，按价格最低原则确定成交供应商。</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1.2采购项目概况和供应商资格要求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采购项目概况和供应商资格要求见第一章“采购公告”。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1.3 费用承担</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供应商准备和参加采购活动所发生的各种费用由供应商自行承担。</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1.4保密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1.5语言文字</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1.6计量单位</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所有计量均采用中华人民共和国法定计量单位。</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1.7踏勘现场</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1.8采购预备会</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1.9分包(</w:t>
      </w:r>
      <w:r>
        <w:rPr>
          <w:rFonts w:hint="eastAsia" w:ascii="宋体" w:hAnsi="宋体" w:cs="仿宋"/>
          <w:b/>
          <w:bCs/>
          <w:color w:val="auto"/>
          <w:sz w:val="24"/>
          <w:lang w:eastAsia="zh-CN"/>
        </w:rPr>
        <w:t>本项目不允许分包</w:t>
      </w:r>
      <w:r>
        <w:rPr>
          <w:rFonts w:hint="eastAsia" w:ascii="宋体" w:hAnsi="宋体" w:cs="仿宋"/>
          <w:b/>
          <w:bCs/>
          <w:color w:val="auto"/>
          <w:sz w:val="24"/>
        </w:rPr>
        <w:t>)</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1.10响应和偏差</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2采购文件</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2.1采购文件的组成</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本采购文件包括:</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(1)采购公告:</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(2)供应商须知;</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(3)评审办法;</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(4)合同条款及格式;</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(5)采购需求;</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(6)响应文件格式;</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(7)供应商须知前附表规定的其他资料。</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采购人依照本章规定，对采购文件所作的澄清、修改，构成采购文件的组成部分。</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2.2采购文件的澄清和修改</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2.2.4除非确有必要，采购人有权拒绝回复供应商</w:t>
      </w:r>
      <w:r>
        <w:rPr>
          <w:rFonts w:hint="eastAsia" w:ascii="宋体" w:hAnsi="宋体" w:cs="仿宋"/>
          <w:color w:val="auto"/>
          <w:sz w:val="24"/>
          <w:highlight w:val="none"/>
        </w:rPr>
        <w:t>在本章第2.2.1项</w:t>
      </w:r>
      <w:r>
        <w:rPr>
          <w:rFonts w:hint="eastAsia" w:ascii="宋体" w:hAnsi="宋体" w:cs="仿宋"/>
          <w:color w:val="auto"/>
          <w:sz w:val="24"/>
        </w:rPr>
        <w:t>规定的时间后提出的任何澄清要求。</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3响应文件</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3.1响应文件的组成</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3.1.1响应文件应包括下列内容: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(1)响应函;</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(2)授权委托书(如有);</w:t>
      </w:r>
    </w:p>
    <w:p>
      <w:pPr>
        <w:adjustRightInd w:val="0"/>
        <w:snapToGrid w:val="0"/>
        <w:spacing w:line="312" w:lineRule="auto"/>
        <w:ind w:firstLine="453" w:firstLineChars="189"/>
        <w:jc w:val="both"/>
        <w:rPr>
          <w:rFonts w:hint="eastAsia"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3</w:t>
      </w:r>
      <w:r>
        <w:rPr>
          <w:rFonts w:hint="eastAsia" w:ascii="宋体" w:hAnsi="宋体" w:cs="仿宋"/>
          <w:color w:val="auto"/>
          <w:sz w:val="24"/>
        </w:rPr>
        <w:t>)商务和技术偏差表;</w:t>
      </w:r>
    </w:p>
    <w:p>
      <w:pPr>
        <w:adjustRightInd w:val="0"/>
        <w:snapToGrid w:val="0"/>
        <w:spacing w:line="312" w:lineRule="auto"/>
        <w:ind w:firstLine="453" w:firstLineChars="189"/>
        <w:jc w:val="both"/>
        <w:rPr>
          <w:rFonts w:hint="default" w:ascii="宋体" w:hAnsi="宋体" w:cs="仿宋"/>
          <w:color w:val="auto"/>
          <w:sz w:val="24"/>
        </w:rPr>
      </w:pPr>
      <w:r>
        <w:rPr>
          <w:rFonts w:hint="eastAsia" w:ascii="宋体" w:hAnsi="宋体" w:cs="仿宋"/>
          <w:color w:val="auto"/>
          <w:sz w:val="24"/>
          <w:lang w:val="en-US" w:eastAsia="zh-CN"/>
        </w:rPr>
        <w:t xml:space="preserve"> </w:t>
      </w:r>
      <w:r>
        <w:rPr>
          <w:rFonts w:hint="eastAsia" w:ascii="宋体" w:hAnsi="宋体" w:cs="仿宋"/>
          <w:color w:val="auto"/>
          <w:sz w:val="24"/>
        </w:rPr>
        <w:t>(</w:t>
      </w:r>
      <w:r>
        <w:rPr>
          <w:rFonts w:hint="eastAsia" w:ascii="宋体" w:hAnsi="宋体" w:cs="仿宋"/>
          <w:color w:val="auto"/>
          <w:sz w:val="24"/>
          <w:lang w:val="en-US" w:eastAsia="zh-CN"/>
        </w:rPr>
        <w:t>4</w:t>
      </w:r>
      <w:r>
        <w:rPr>
          <w:rFonts w:hint="eastAsia" w:ascii="宋体" w:hAnsi="宋体" w:cs="仿宋"/>
          <w:color w:val="auto"/>
          <w:sz w:val="24"/>
        </w:rPr>
        <w:t>)</w:t>
      </w:r>
      <w:r>
        <w:rPr>
          <w:rFonts w:hint="eastAsia" w:ascii="宋体" w:hAnsi="宋体" w:cs="仿宋"/>
          <w:color w:val="auto"/>
          <w:sz w:val="24"/>
          <w:lang w:val="en-US" w:eastAsia="zh-CN"/>
        </w:rPr>
        <w:t>报价</w:t>
      </w:r>
      <w:r>
        <w:rPr>
          <w:rFonts w:hint="eastAsia" w:ascii="宋体" w:hAnsi="宋体" w:cs="仿宋"/>
          <w:color w:val="auto"/>
          <w:sz w:val="24"/>
        </w:rPr>
        <w:t>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5</w:t>
      </w:r>
      <w:r>
        <w:rPr>
          <w:rFonts w:hint="eastAsia" w:ascii="宋体" w:hAnsi="宋体" w:cs="仿宋"/>
          <w:color w:val="auto"/>
          <w:sz w:val="24"/>
        </w:rPr>
        <w:t>)资格审查资料;</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6</w:t>
      </w:r>
      <w:r>
        <w:rPr>
          <w:rFonts w:hint="eastAsia" w:ascii="宋体" w:hAnsi="宋体" w:cs="仿宋"/>
          <w:color w:val="auto"/>
          <w:sz w:val="24"/>
        </w:rPr>
        <w:t>)响应方案;</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7</w:t>
      </w:r>
      <w:r>
        <w:rPr>
          <w:rFonts w:hint="eastAsia" w:ascii="宋体" w:hAnsi="宋体" w:cs="仿宋"/>
          <w:color w:val="auto"/>
          <w:sz w:val="24"/>
        </w:rPr>
        <w:t>)供应商须知前附表规定的其他资料。</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3.1.2供应商的法定代表人(单位负责人)亲自签署响应文件、亲自参加采购的，响应文件不包括第</w:t>
      </w:r>
      <w:r>
        <w:rPr>
          <w:rFonts w:hint="eastAsia" w:ascii="宋体" w:hAnsi="宋体" w:cs="仿宋"/>
          <w:color w:val="auto"/>
          <w:sz w:val="24"/>
          <w:highlight w:val="none"/>
        </w:rPr>
        <w:t>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3.2报价</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w:t>
      </w:r>
      <w:r>
        <w:rPr>
          <w:rFonts w:hint="eastAsia" w:ascii="宋体" w:hAnsi="宋体" w:cs="仿宋"/>
          <w:color w:val="auto"/>
          <w:sz w:val="24"/>
          <w:highlight w:val="none"/>
        </w:rPr>
        <w:t>第三章“评审办法"第2.2.2项中选择按照含税价格或不含税价格对供应商进行价格评审。</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3.2.4报价的其他要求见供应商须知前附表。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3.3响应文件有效期</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hint="eastAsia" w:ascii="宋体" w:hAnsi="宋体" w:eastAsia="宋体" w:cs="仿宋"/>
          <w:b/>
          <w:bCs/>
          <w:color w:val="auto"/>
          <w:sz w:val="24"/>
          <w:lang w:eastAsia="zh-CN"/>
        </w:rPr>
      </w:pPr>
      <w:r>
        <w:rPr>
          <w:rFonts w:hint="eastAsia" w:ascii="宋体" w:hAnsi="宋体" w:cs="仿宋"/>
          <w:b/>
          <w:bCs/>
          <w:color w:val="auto"/>
          <w:sz w:val="24"/>
        </w:rPr>
        <w:t>3.4响应保证金</w:t>
      </w:r>
      <w:r>
        <w:rPr>
          <w:rFonts w:hint="eastAsia" w:ascii="宋体" w:hAnsi="宋体" w:cs="仿宋"/>
          <w:b/>
          <w:bCs/>
          <w:color w:val="auto"/>
          <w:sz w:val="24"/>
          <w:lang w:eastAsia="zh-CN"/>
        </w:rPr>
        <w:t>（本项目不提交响应保证金）</w:t>
      </w:r>
    </w:p>
    <w:p>
      <w:pPr>
        <w:adjustRightInd w:val="0"/>
        <w:snapToGrid w:val="0"/>
        <w:spacing w:line="312" w:lineRule="auto"/>
        <w:ind w:left="120" w:hanging="120" w:hangingChars="50"/>
        <w:jc w:val="both"/>
        <w:rPr>
          <w:rFonts w:ascii="宋体" w:hAnsi="宋体" w:cs="仿宋"/>
          <w:b/>
          <w:bCs/>
          <w:color w:val="auto"/>
          <w:sz w:val="24"/>
        </w:rPr>
      </w:pPr>
      <w:r>
        <w:rPr>
          <w:rFonts w:hint="eastAsia" w:ascii="宋体" w:hAnsi="宋体" w:cs="仿宋"/>
          <w:b/>
          <w:bCs/>
          <w:color w:val="auto"/>
          <w:sz w:val="24"/>
        </w:rPr>
        <w:t>3.5资格审查资料</w:t>
      </w:r>
    </w:p>
    <w:p>
      <w:pPr>
        <w:adjustRightInd w:val="0"/>
        <w:snapToGrid w:val="0"/>
        <w:spacing w:line="312" w:lineRule="auto"/>
        <w:ind w:left="149" w:leftChars="71" w:firstLine="360" w:firstLineChars="150"/>
        <w:jc w:val="both"/>
        <w:rPr>
          <w:rFonts w:ascii="宋体" w:hAnsi="宋体" w:cs="仿宋"/>
          <w:color w:val="auto"/>
          <w:sz w:val="24"/>
        </w:rPr>
      </w:pPr>
      <w:r>
        <w:rPr>
          <w:rFonts w:hint="eastAsia" w:ascii="宋体" w:hAnsi="宋体" w:cs="仿宋"/>
          <w:color w:val="auto"/>
          <w:sz w:val="24"/>
        </w:rPr>
        <w:t>供应商应提供供应商须知前附表</w:t>
      </w:r>
      <w:r>
        <w:rPr>
          <w:rFonts w:hint="eastAsia" w:ascii="宋体" w:hAnsi="宋体" w:cs="仿宋"/>
          <w:color w:val="auto"/>
          <w:sz w:val="24"/>
          <w:highlight w:val="none"/>
        </w:rPr>
        <w:t>3.5(1)-3.5(</w:t>
      </w: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)中</w:t>
      </w:r>
      <w:r>
        <w:rPr>
          <w:rFonts w:hint="eastAsia" w:ascii="宋体" w:hAnsi="宋体" w:cs="仿宋"/>
          <w:color w:val="auto"/>
          <w:sz w:val="24"/>
        </w:rPr>
        <w:t>规定的资格审查资料，以证明其满足第一章“采购公告”对供应商的各项资格要求。</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3.6响应方案</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3.7响应文件的编制</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3.7.2响应文件应用不褪色的的材料书写或打印。</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color w:val="auto"/>
          <w:sz w:val="24"/>
        </w:rPr>
      </w:pPr>
      <w:r>
        <w:rPr>
          <w:rFonts w:ascii="宋体" w:hAnsi="宋体" w:cs="仿宋"/>
          <w:color w:val="auto"/>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color w:val="auto"/>
          <w:sz w:val="24"/>
        </w:rPr>
      </w:pPr>
      <w:r>
        <w:rPr>
          <w:rFonts w:ascii="宋体" w:hAnsi="宋体" w:cs="仿宋"/>
          <w:color w:val="auto"/>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4响应文件的递交</w:t>
      </w:r>
    </w:p>
    <w:p>
      <w:pPr>
        <w:adjustRightInd w:val="0"/>
        <w:snapToGrid w:val="0"/>
        <w:spacing w:line="312" w:lineRule="auto"/>
        <w:jc w:val="both"/>
        <w:rPr>
          <w:rFonts w:ascii="宋体" w:hAnsi="宋体" w:cs="仿宋"/>
          <w:b/>
          <w:bCs/>
          <w:color w:val="auto"/>
          <w:sz w:val="24"/>
        </w:rPr>
      </w:pPr>
      <w:r>
        <w:rPr>
          <w:rFonts w:ascii="宋体" w:hAnsi="宋体" w:cs="仿宋"/>
          <w:b/>
          <w:bCs/>
          <w:color w:val="auto"/>
          <w:sz w:val="24"/>
        </w:rPr>
        <w:t>4.1响应文件的包装与标记</w:t>
      </w:r>
    </w:p>
    <w:p>
      <w:pPr>
        <w:adjustRightInd w:val="0"/>
        <w:snapToGrid w:val="0"/>
        <w:spacing w:line="312" w:lineRule="auto"/>
        <w:jc w:val="both"/>
        <w:rPr>
          <w:rFonts w:ascii="宋体" w:hAnsi="宋体" w:cs="仿宋"/>
          <w:color w:val="auto"/>
          <w:sz w:val="24"/>
        </w:rPr>
      </w:pPr>
      <w:r>
        <w:rPr>
          <w:rFonts w:ascii="宋体" w:hAnsi="宋体" w:cs="仿宋"/>
          <w:color w:val="auto"/>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color w:val="auto"/>
          <w:sz w:val="24"/>
        </w:rPr>
      </w:pPr>
      <w:r>
        <w:rPr>
          <w:rFonts w:ascii="宋体" w:hAnsi="宋体" w:cs="仿宋"/>
          <w:color w:val="auto"/>
          <w:sz w:val="24"/>
        </w:rPr>
        <w:t>4.1.2响应文件封套上应载明的内容见供应商须知前附表。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4.2响应文件的递交</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4.2.2除供应商须知前附表另有规定外，供应商所提交的响应文件不</w:t>
      </w:r>
      <w:r>
        <w:rPr>
          <w:rFonts w:hint="eastAsia" w:ascii="宋体" w:hAnsi="宋体" w:cs="仿宋"/>
          <w:color w:val="auto"/>
          <w:sz w:val="24"/>
          <w:lang w:eastAsia="zh-CN"/>
        </w:rPr>
        <w:t>予</w:t>
      </w:r>
      <w:r>
        <w:rPr>
          <w:rFonts w:hint="eastAsia" w:ascii="宋体" w:hAnsi="宋体" w:cs="仿宋"/>
          <w:color w:val="auto"/>
          <w:sz w:val="24"/>
        </w:rPr>
        <w:t>退还。</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4.3响应文件的修改与撤回</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4.3.2</w:t>
      </w:r>
      <w:r>
        <w:rPr>
          <w:rFonts w:ascii="宋体" w:hAnsi="宋体" w:cs="仿宋"/>
          <w:color w:val="auto"/>
          <w:sz w:val="24"/>
        </w:rPr>
        <w:t>响应文件的修改文件或供应商</w:t>
      </w:r>
      <w:r>
        <w:rPr>
          <w:rFonts w:hint="eastAsia" w:ascii="宋体" w:hAnsi="宋体" w:cs="仿宋"/>
          <w:color w:val="auto"/>
          <w:sz w:val="24"/>
        </w:rPr>
        <w:t>撤</w:t>
      </w:r>
      <w:r>
        <w:rPr>
          <w:rFonts w:ascii="宋体" w:hAnsi="宋体" w:cs="仿宋"/>
          <w:color w:val="auto"/>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5开启响应文件</w:t>
      </w:r>
    </w:p>
    <w:p>
      <w:pPr>
        <w:adjustRightInd w:val="0"/>
        <w:snapToGrid w:val="0"/>
        <w:spacing w:line="312" w:lineRule="auto"/>
        <w:ind w:firstLine="455" w:firstLineChars="189"/>
        <w:jc w:val="both"/>
        <w:rPr>
          <w:rFonts w:ascii="宋体" w:hAnsi="宋体" w:cs="仿宋"/>
          <w:color w:val="auto"/>
          <w:sz w:val="24"/>
        </w:rPr>
      </w:pPr>
      <w:r>
        <w:rPr>
          <w:rFonts w:hint="eastAsia" w:ascii="宋体" w:hAnsi="宋体" w:cs="仿宋"/>
          <w:b/>
          <w:color w:val="auto"/>
          <w:sz w:val="24"/>
        </w:rPr>
        <w:t>采购人一般不公开开启响应文件。如</w:t>
      </w:r>
      <w:r>
        <w:rPr>
          <w:rFonts w:hint="eastAsia" w:ascii="宋体" w:hAnsi="宋体" w:cs="仿宋"/>
          <w:color w:val="auto"/>
          <w:sz w:val="24"/>
        </w:rPr>
        <w:t>供应商须知前附表规定公开开启响应文件的，开启活动应按本条规定执行。</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5.1开启响应文件的时间和地点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5.2开启程序</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主持人按下列程序公开开启响应文件:</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color w:val="auto"/>
          <w:sz w:val="24"/>
          <w:lang w:eastAsia="zh-CN"/>
        </w:rPr>
      </w:pPr>
      <w:r>
        <w:rPr>
          <w:rFonts w:hint="eastAsia" w:ascii="宋体" w:hAnsi="宋体" w:cs="仿宋"/>
          <w:color w:val="auto"/>
          <w:sz w:val="24"/>
        </w:rPr>
        <w:t>(2)开启会议结束。</w:t>
      </w:r>
    </w:p>
    <w:p>
      <w:pPr>
        <w:adjustRightInd w:val="0"/>
        <w:snapToGrid w:val="0"/>
        <w:spacing w:line="312" w:lineRule="auto"/>
        <w:ind w:firstLine="455" w:firstLineChars="189"/>
        <w:jc w:val="both"/>
        <w:rPr>
          <w:rFonts w:ascii="宋体" w:hAnsi="宋体" w:cs="仿宋"/>
          <w:color w:val="auto"/>
          <w:sz w:val="24"/>
        </w:rPr>
      </w:pPr>
      <w:r>
        <w:rPr>
          <w:rFonts w:hint="eastAsia" w:ascii="宋体" w:hAnsi="宋体" w:cs="仿宋"/>
          <w:b/>
          <w:bCs/>
          <w:color w:val="auto"/>
          <w:sz w:val="24"/>
        </w:rPr>
        <w:t>5.3递交响应文件的供应商不足的情形</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6评审</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6.1评审小组</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6.1.1评审由采购人组建的评审小组负责。</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6.1.2评审小组成员有下列情形之的，应当回避:</w:t>
      </w:r>
    </w:p>
    <w:p>
      <w:pPr>
        <w:adjustRightInd w:val="0"/>
        <w:snapToGrid w:val="0"/>
        <w:spacing w:line="312" w:lineRule="auto"/>
        <w:ind w:left="716" w:leftChars="284" w:hanging="120" w:hangingChars="50"/>
        <w:jc w:val="both"/>
        <w:rPr>
          <w:rFonts w:hint="eastAsia" w:ascii="宋体" w:hAnsi="宋体" w:eastAsia="宋体" w:cs="仿宋"/>
          <w:color w:val="auto"/>
          <w:sz w:val="24"/>
          <w:lang w:eastAsia="zh-CN"/>
        </w:rPr>
      </w:pPr>
      <w:r>
        <w:rPr>
          <w:rFonts w:hint="eastAsia" w:ascii="宋体" w:hAnsi="宋体" w:cs="仿宋"/>
          <w:color w:val="auto"/>
          <w:sz w:val="24"/>
          <w:lang w:eastAsia="zh-CN"/>
        </w:rPr>
        <w:t>（</w:t>
      </w:r>
      <w:r>
        <w:rPr>
          <w:rFonts w:hint="eastAsia" w:ascii="宋体" w:hAnsi="宋体" w:cs="仿宋"/>
          <w:color w:val="auto"/>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color w:val="auto"/>
          <w:sz w:val="24"/>
        </w:rPr>
      </w:pPr>
      <w:r>
        <w:rPr>
          <w:rFonts w:hint="eastAsia" w:ascii="宋体" w:hAnsi="宋体" w:cs="仿宋"/>
          <w:color w:val="auto"/>
          <w:sz w:val="24"/>
        </w:rPr>
        <w:t>(2)与供应商有经济利益关系或其他利害关系，可能影响公正评审的。</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6.2评审</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color w:val="auto"/>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7合同授予</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7.1成交候选供应商报价核查</w:t>
      </w:r>
    </w:p>
    <w:p>
      <w:pPr>
        <w:widowControl w:val="0"/>
        <w:adjustRightInd w:val="0"/>
        <w:snapToGrid w:val="0"/>
        <w:spacing w:line="312" w:lineRule="auto"/>
        <w:ind w:firstLine="475" w:firstLineChars="198"/>
        <w:jc w:val="both"/>
        <w:rPr>
          <w:rFonts w:ascii="宋体" w:hAnsi="宋体" w:cs="仿宋"/>
          <w:color w:val="auto"/>
          <w:sz w:val="24"/>
        </w:rPr>
      </w:pPr>
      <w:r>
        <w:rPr>
          <w:rFonts w:hint="eastAsia" w:ascii="宋体" w:hAnsi="宋体" w:cs="仿宋"/>
          <w:color w:val="auto"/>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color w:val="auto"/>
          <w:sz w:val="24"/>
        </w:rPr>
      </w:pPr>
      <w:r>
        <w:rPr>
          <w:rFonts w:hint="eastAsia" w:ascii="宋体" w:hAnsi="宋体" w:cs="仿宋"/>
          <w:b/>
          <w:bCs/>
          <w:color w:val="auto"/>
          <w:sz w:val="24"/>
        </w:rPr>
        <w:t>7.2</w:t>
      </w:r>
      <w:r>
        <w:rPr>
          <w:rFonts w:hint="eastAsia" w:ascii="宋体" w:hAnsi="宋体" w:cs="宋体"/>
          <w:b/>
          <w:bCs/>
          <w:color w:val="auto"/>
          <w:sz w:val="24"/>
        </w:rPr>
        <w:t>成交候选</w:t>
      </w:r>
      <w:r>
        <w:rPr>
          <w:rFonts w:hint="eastAsia" w:ascii="宋体" w:hAnsi="宋体" w:cs="仿宋"/>
          <w:b/>
          <w:bCs/>
          <w:color w:val="auto"/>
          <w:sz w:val="24"/>
        </w:rPr>
        <w:t>供应商</w:t>
      </w:r>
      <w:r>
        <w:rPr>
          <w:rFonts w:hint="eastAsia" w:ascii="宋体" w:hAnsi="宋体" w:cs="宋体"/>
          <w:b/>
          <w:bCs/>
          <w:color w:val="auto"/>
          <w:sz w:val="24"/>
        </w:rPr>
        <w:t xml:space="preserve">公示 </w:t>
      </w:r>
    </w:p>
    <w:p>
      <w:pPr>
        <w:widowControl w:val="0"/>
        <w:adjustRightInd w:val="0"/>
        <w:snapToGrid w:val="0"/>
        <w:spacing w:line="312" w:lineRule="auto"/>
        <w:ind w:firstLine="480" w:firstLineChars="200"/>
        <w:jc w:val="both"/>
        <w:rPr>
          <w:rFonts w:ascii="宋体" w:hAnsi="宋体" w:cs="宋体"/>
          <w:color w:val="auto"/>
          <w:sz w:val="24"/>
        </w:rPr>
      </w:pPr>
      <w:r>
        <w:rPr>
          <w:rFonts w:hint="eastAsia" w:ascii="宋体" w:hAnsi="宋体" w:cs="宋体"/>
          <w:color w:val="auto"/>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color w:val="auto"/>
          <w:sz w:val="24"/>
        </w:rPr>
      </w:pPr>
      <w:r>
        <w:rPr>
          <w:rFonts w:hint="eastAsia" w:ascii="宋体" w:hAnsi="宋体" w:cs="宋体"/>
          <w:b/>
          <w:bCs/>
          <w:color w:val="auto"/>
          <w:sz w:val="24"/>
        </w:rPr>
        <w:t xml:space="preserve">7.3成交结果异议 </w:t>
      </w:r>
    </w:p>
    <w:p>
      <w:pPr>
        <w:adjustRightInd w:val="0"/>
        <w:snapToGrid w:val="0"/>
        <w:spacing w:line="312" w:lineRule="auto"/>
        <w:ind w:firstLine="424" w:firstLineChars="177"/>
        <w:jc w:val="both"/>
        <w:rPr>
          <w:rFonts w:ascii="宋体" w:hAnsi="宋体" w:cs="宋体"/>
          <w:color w:val="auto"/>
          <w:sz w:val="24"/>
        </w:rPr>
      </w:pPr>
      <w:r>
        <w:rPr>
          <w:rFonts w:hint="eastAsia" w:ascii="宋体" w:hAnsi="宋体" w:cs="宋体"/>
          <w:color w:val="auto"/>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7.4成交候选供应商履约能力核查</w:t>
      </w:r>
    </w:p>
    <w:p>
      <w:pPr>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rPr>
        <w:t>7.5发出成交通</w:t>
      </w:r>
      <w:r>
        <w:rPr>
          <w:rFonts w:hint="eastAsia" w:ascii="宋体" w:hAnsi="宋体" w:cs="仿宋"/>
          <w:b/>
          <w:bCs/>
          <w:color w:val="auto"/>
          <w:sz w:val="24"/>
          <w:highlight w:val="none"/>
        </w:rPr>
        <w:t>知书</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highlight w:val="none"/>
        </w:rPr>
        <w:t>公示期结束后，在本章第3.3款规</w:t>
      </w:r>
      <w:r>
        <w:rPr>
          <w:rFonts w:hint="eastAsia" w:ascii="宋体" w:hAnsi="宋体" w:cs="仿宋"/>
          <w:color w:val="auto"/>
          <w:sz w:val="24"/>
        </w:rPr>
        <w:t>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7.6履约保证金</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color w:val="auto"/>
          <w:sz w:val="24"/>
        </w:rPr>
        <w:t>10</w:t>
      </w:r>
      <w:r>
        <w:rPr>
          <w:rFonts w:hint="eastAsia" w:ascii="宋体" w:hAnsi="宋体" w:cs="仿宋"/>
          <w:color w:val="auto"/>
          <w:sz w:val="24"/>
        </w:rPr>
        <w:t>%。</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7.7签订合同</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w:t>
      </w:r>
      <w:r>
        <w:rPr>
          <w:rFonts w:hint="eastAsia" w:ascii="宋体" w:hAnsi="宋体" w:cs="仿宋"/>
          <w:color w:val="auto"/>
          <w:sz w:val="24"/>
        </w:rPr>
        <w:t>许调整的费率和金额除外)。</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w:t>
      </w:r>
      <w:r>
        <w:rPr>
          <w:rFonts w:ascii="宋体" w:hAnsi="宋体" w:cs="仿宋"/>
          <w:b/>
          <w:bCs/>
          <w:color w:val="auto"/>
          <w:sz w:val="24"/>
        </w:rPr>
        <w:t>8</w:t>
      </w:r>
      <w:r>
        <w:rPr>
          <w:rFonts w:hint="eastAsia" w:ascii="宋体" w:hAnsi="宋体" w:cs="仿宋"/>
          <w:b/>
          <w:bCs/>
          <w:color w:val="auto"/>
          <w:sz w:val="24"/>
        </w:rPr>
        <w:t>特殊情形处理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8异议</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8.1提出异议</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8.2异议处理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采购人认为异议不成立或不影响采购结果的，可以继续进行采购活动。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9纪律要求</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9.1对采购人的纪律要求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9.2对供应商的纪律要求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9.3对评审小组成员的纪律要求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9.4对与采购活动有关的工作人员的纪律要求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10</w:t>
      </w:r>
      <w:r>
        <w:rPr>
          <w:rFonts w:ascii="宋体" w:hAnsi="宋体" w:cs="仿宋"/>
          <w:b/>
          <w:bCs/>
          <w:color w:val="auto"/>
          <w:sz w:val="24"/>
        </w:rPr>
        <w:t xml:space="preserve"> </w:t>
      </w:r>
      <w:r>
        <w:rPr>
          <w:rFonts w:hint="eastAsia" w:ascii="宋体" w:hAnsi="宋体" w:cs="仿宋"/>
          <w:b/>
          <w:bCs/>
          <w:color w:val="auto"/>
          <w:sz w:val="24"/>
        </w:rPr>
        <w:t>需要补充的其他内容</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10.1采购代理服务费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10.2其他</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需更补充的其他内容:见供应商须知前附表。</w:t>
      </w:r>
    </w:p>
    <w:p>
      <w:pPr>
        <w:adjustRightInd w:val="0"/>
        <w:snapToGrid w:val="0"/>
        <w:spacing w:line="312" w:lineRule="auto"/>
        <w:jc w:val="both"/>
        <w:rPr>
          <w:rFonts w:ascii="宋体" w:hAnsi="宋体" w:cs="仿宋"/>
          <w:color w:val="auto"/>
          <w:sz w:val="24"/>
        </w:rPr>
      </w:pPr>
    </w:p>
    <w:p>
      <w:pPr>
        <w:adjustRightInd w:val="0"/>
        <w:snapToGrid w:val="0"/>
        <w:spacing w:line="312" w:lineRule="auto"/>
        <w:ind w:firstLine="453" w:firstLineChars="189"/>
        <w:jc w:val="both"/>
        <w:rPr>
          <w:rFonts w:ascii="宋体" w:hAnsi="宋体" w:cs="仿宋"/>
          <w:color w:val="auto"/>
          <w:sz w:val="24"/>
        </w:rPr>
      </w:pPr>
    </w:p>
    <w:p>
      <w:pPr>
        <w:spacing w:line="312" w:lineRule="auto"/>
        <w:jc w:val="both"/>
        <w:rPr>
          <w:rFonts w:ascii="宋体" w:hAnsi="宋体" w:cs="仿宋"/>
          <w:color w:val="auto"/>
          <w:sz w:val="24"/>
        </w:rPr>
      </w:pPr>
      <w:r>
        <w:rPr>
          <w:rFonts w:hint="eastAsia" w:ascii="宋体" w:hAnsi="宋体" w:cs="仿宋"/>
          <w:color w:val="auto"/>
          <w:sz w:val="24"/>
        </w:rPr>
        <w:br w:type="page"/>
      </w:r>
    </w:p>
    <w:p>
      <w:pPr>
        <w:spacing w:line="312" w:lineRule="auto"/>
        <w:jc w:val="both"/>
        <w:rPr>
          <w:rFonts w:ascii="宋体" w:hAnsi="宋体" w:cs="仿宋"/>
          <w:sz w:val="24"/>
        </w:rPr>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0"/>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color w:val="auto"/>
          <w:sz w:val="30"/>
          <w:szCs w:val="30"/>
        </w:rPr>
      </w:pPr>
      <w:r>
        <w:rPr>
          <w:rFonts w:hint="eastAsia" w:ascii="宋体" w:hAnsi="宋体" w:cs="仿宋"/>
          <w:color w:val="auto"/>
          <w:sz w:val="30"/>
          <w:szCs w:val="30"/>
        </w:rPr>
        <w:t>附件</w:t>
      </w:r>
      <w:r>
        <w:rPr>
          <w:rFonts w:hint="eastAsia" w:ascii="宋体" w:hAnsi="宋体" w:cs="仿宋"/>
          <w:color w:val="auto"/>
          <w:sz w:val="30"/>
          <w:szCs w:val="30"/>
          <w:lang w:val="en-US" w:eastAsia="zh-CN"/>
        </w:rPr>
        <w:t>3</w:t>
      </w:r>
      <w:r>
        <w:rPr>
          <w:rFonts w:hint="eastAsia" w:ascii="宋体" w:hAnsi="宋体" w:cs="仿宋"/>
          <w:color w:val="auto"/>
          <w:sz w:val="30"/>
          <w:szCs w:val="30"/>
        </w:rPr>
        <w:t xml:space="preserve">  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rPr>
      </w:pPr>
    </w:p>
    <w:p>
      <w:pPr>
        <w:adjustRightInd w:val="0"/>
        <w:snapToGrid w:val="0"/>
        <w:spacing w:line="600" w:lineRule="exact"/>
        <w:ind w:firstLine="721" w:firstLineChars="200"/>
        <w:jc w:val="center"/>
        <w:rPr>
          <w:rFonts w:ascii="华文中宋" w:hAnsi="华文中宋" w:eastAsia="华文中宋" w:cs="仿宋"/>
          <w:b/>
          <w:bCs/>
          <w:color w:val="auto"/>
          <w:sz w:val="36"/>
          <w:szCs w:val="36"/>
        </w:rPr>
      </w:pPr>
      <w:r>
        <w:rPr>
          <w:rFonts w:hint="eastAsia" w:ascii="华文中宋" w:hAnsi="华文中宋" w:eastAsia="华文中宋" w:cs="仿宋"/>
          <w:b/>
          <w:bCs/>
          <w:color w:val="auto"/>
          <w:sz w:val="36"/>
          <w:szCs w:val="36"/>
        </w:rPr>
        <w:t>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rPr>
      </w:pPr>
    </w:p>
    <w:p>
      <w:pPr>
        <w:adjustRightInd w:val="0"/>
        <w:snapToGrid w:val="0"/>
        <w:spacing w:line="600" w:lineRule="exact"/>
        <w:ind w:firstLine="480" w:firstLineChars="200"/>
        <w:jc w:val="both"/>
        <w:rPr>
          <w:rFonts w:ascii="宋体" w:hAnsi="宋体" w:cs="仿宋"/>
          <w:b/>
          <w:bCs/>
          <w:color w:val="auto"/>
          <w:sz w:val="24"/>
        </w:rPr>
      </w:pPr>
      <w:r>
        <w:rPr>
          <w:rFonts w:hint="eastAsia" w:ascii="宋体" w:hAnsi="宋体" w:cs="仿宋"/>
          <w:color w:val="auto"/>
          <w:sz w:val="24"/>
          <w:u w:val="single"/>
        </w:rPr>
        <w:t xml:space="preserve">           （采购人或采购代理机构名称)</w:t>
      </w:r>
      <w:r>
        <w:rPr>
          <w:rFonts w:hint="eastAsia" w:ascii="宋体" w:hAnsi="宋体" w:cs="仿宋"/>
          <w:color w:val="auto"/>
          <w:sz w:val="24"/>
        </w:rPr>
        <w:t>:</w:t>
      </w:r>
    </w:p>
    <w:p>
      <w:pPr>
        <w:adjustRightInd w:val="0"/>
        <w:snapToGrid w:val="0"/>
        <w:spacing w:line="600" w:lineRule="exact"/>
        <w:ind w:firstLine="480" w:firstLineChars="200"/>
        <w:jc w:val="both"/>
        <w:rPr>
          <w:rFonts w:ascii="宋体" w:hAnsi="宋体" w:cs="仿宋"/>
          <w:color w:val="auto"/>
          <w:sz w:val="24"/>
        </w:rPr>
      </w:pPr>
      <w:r>
        <w:rPr>
          <w:rFonts w:hint="eastAsia" w:ascii="宋体" w:hAnsi="宋体" w:cs="仿宋"/>
          <w:color w:val="auto"/>
          <w:sz w:val="24"/>
        </w:rPr>
        <w:t>你方于</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hint="eastAsia" w:ascii="宋体" w:hAnsi="宋体" w:cs="仿宋"/>
          <w:color w:val="auto"/>
          <w:sz w:val="24"/>
        </w:rPr>
        <w:t>日发出的的</w:t>
      </w:r>
      <w:r>
        <w:rPr>
          <w:rFonts w:hint="eastAsia" w:ascii="宋体" w:hAnsi="宋体" w:cs="仿宋"/>
          <w:color w:val="auto"/>
          <w:sz w:val="24"/>
          <w:u w:val="single"/>
        </w:rPr>
        <w:t>(项目名称)</w:t>
      </w:r>
      <w:r>
        <w:rPr>
          <w:rFonts w:hint="eastAsia" w:ascii="宋体" w:hAnsi="宋体" w:cs="仿宋"/>
          <w:color w:val="auto"/>
          <w:sz w:val="24"/>
        </w:rPr>
        <w:t>采购文件的澄清/修改的通知，我方已于</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hint="eastAsia" w:ascii="宋体" w:hAnsi="宋体" w:cs="仿宋"/>
          <w:color w:val="auto"/>
          <w:sz w:val="24"/>
        </w:rPr>
        <w:t>日收到。</w:t>
      </w:r>
    </w:p>
    <w:p>
      <w:pPr>
        <w:adjustRightInd w:val="0"/>
        <w:snapToGrid w:val="0"/>
        <w:spacing w:line="600" w:lineRule="exact"/>
        <w:ind w:firstLine="480" w:firstLineChars="200"/>
        <w:jc w:val="both"/>
        <w:rPr>
          <w:rFonts w:ascii="宋体" w:hAnsi="宋体" w:cs="仿宋"/>
          <w:color w:val="auto"/>
          <w:sz w:val="24"/>
        </w:rPr>
      </w:pPr>
      <w:r>
        <w:rPr>
          <w:rFonts w:hint="eastAsia" w:ascii="宋体" w:hAnsi="宋体" w:cs="仿宋"/>
          <w:color w:val="auto"/>
          <w:sz w:val="24"/>
        </w:rPr>
        <w:t>特此确认。</w:t>
      </w:r>
    </w:p>
    <w:p>
      <w:pPr>
        <w:adjustRightInd w:val="0"/>
        <w:snapToGrid w:val="0"/>
        <w:spacing w:line="600" w:lineRule="exact"/>
        <w:ind w:firstLine="480" w:firstLineChars="200"/>
        <w:jc w:val="both"/>
        <w:rPr>
          <w:rFonts w:ascii="宋体" w:hAnsi="宋体" w:cs="仿宋"/>
          <w:color w:val="auto"/>
          <w:sz w:val="24"/>
        </w:rPr>
      </w:pPr>
    </w:p>
    <w:p>
      <w:pPr>
        <w:adjustRightInd w:val="0"/>
        <w:snapToGrid w:val="0"/>
        <w:spacing w:line="600" w:lineRule="exact"/>
        <w:ind w:firstLine="480" w:firstLineChars="200"/>
        <w:jc w:val="both"/>
        <w:rPr>
          <w:rFonts w:ascii="宋体" w:hAnsi="宋体" w:cs="仿宋"/>
          <w:color w:val="auto"/>
          <w:sz w:val="24"/>
        </w:rPr>
      </w:pPr>
    </w:p>
    <w:p>
      <w:pPr>
        <w:adjustRightInd w:val="0"/>
        <w:snapToGrid w:val="0"/>
        <w:spacing w:line="600" w:lineRule="exact"/>
        <w:ind w:firstLine="5090" w:firstLineChars="2121"/>
        <w:jc w:val="both"/>
        <w:rPr>
          <w:rFonts w:ascii="宋体" w:hAnsi="宋体" w:cs="仿宋"/>
          <w:color w:val="auto"/>
          <w:sz w:val="24"/>
          <w:u w:val="single"/>
        </w:rPr>
      </w:pPr>
      <w:r>
        <w:rPr>
          <w:rFonts w:hint="eastAsia" w:ascii="宋体" w:hAnsi="宋体" w:cs="仿宋"/>
          <w:color w:val="auto"/>
          <w:sz w:val="24"/>
        </w:rPr>
        <w:t>供应商:</w:t>
      </w:r>
      <w:r>
        <w:rPr>
          <w:rFonts w:ascii="宋体" w:hAnsi="宋体" w:cs="仿宋"/>
          <w:color w:val="auto"/>
          <w:sz w:val="24"/>
        </w:rPr>
        <w:t xml:space="preserve"> </w:t>
      </w:r>
      <w:r>
        <w:rPr>
          <w:rFonts w:ascii="宋体" w:hAnsi="宋体" w:cs="仿宋"/>
          <w:color w:val="auto"/>
          <w:sz w:val="24"/>
          <w:u w:val="single"/>
        </w:rPr>
        <w:t xml:space="preserve">     </w:t>
      </w:r>
      <w:r>
        <w:rPr>
          <w:rFonts w:hint="eastAsia" w:ascii="宋体" w:hAnsi="宋体" w:cs="仿宋"/>
          <w:color w:val="auto"/>
          <w:sz w:val="24"/>
          <w:u w:val="single"/>
        </w:rPr>
        <w:t>(盖单位章)</w:t>
      </w:r>
      <w:r>
        <w:rPr>
          <w:rFonts w:ascii="宋体" w:hAnsi="宋体" w:cs="仿宋"/>
          <w:color w:val="auto"/>
          <w:sz w:val="24"/>
          <w:u w:val="single"/>
        </w:rPr>
        <w:t xml:space="preserve">      </w:t>
      </w:r>
    </w:p>
    <w:p>
      <w:pPr>
        <w:pStyle w:val="76"/>
        <w:spacing w:line="600" w:lineRule="exact"/>
        <w:ind w:left="420" w:firstLine="5280" w:firstLineChars="2200"/>
        <w:jc w:val="both"/>
        <w:rPr>
          <w:rFonts w:cs="仿宋"/>
          <w:b/>
          <w:color w:val="000000"/>
        </w:rPr>
      </w:pPr>
      <w:r>
        <w:rPr>
          <w:rFonts w:hint="eastAsia" w:cs="仿宋"/>
          <w:color w:val="auto"/>
          <w:u w:val="single"/>
        </w:rPr>
        <w:t xml:space="preserve"> </w:t>
      </w:r>
      <w:r>
        <w:rPr>
          <w:rFonts w:cs="仿宋"/>
          <w:color w:val="auto"/>
          <w:u w:val="single"/>
        </w:rPr>
        <w:t xml:space="preserve">       </w:t>
      </w:r>
      <w:r>
        <w:rPr>
          <w:rFonts w:hint="eastAsia" w:cs="仿宋"/>
          <w:color w:val="auto"/>
          <w:u w:val="single"/>
        </w:rPr>
        <w:t xml:space="preserve"> </w:t>
      </w:r>
      <w:r>
        <w:rPr>
          <w:rFonts w:hint="eastAsia" w:cs="仿宋"/>
          <w:color w:val="auto"/>
        </w:rPr>
        <w:t>年</w:t>
      </w:r>
      <w:r>
        <w:rPr>
          <w:rFonts w:hint="eastAsia" w:cs="仿宋"/>
          <w:color w:val="auto"/>
          <w:u w:val="single"/>
        </w:rPr>
        <w:t xml:space="preserve"> </w:t>
      </w:r>
      <w:r>
        <w:rPr>
          <w:rFonts w:cs="仿宋"/>
          <w:color w:val="auto"/>
          <w:u w:val="single"/>
        </w:rPr>
        <w:t xml:space="preserve">  </w:t>
      </w:r>
      <w:r>
        <w:rPr>
          <w:rFonts w:hint="eastAsia" w:cs="仿宋"/>
          <w:color w:val="auto"/>
          <w:u w:val="single"/>
        </w:rPr>
        <w:t xml:space="preserve"> </w:t>
      </w:r>
      <w:r>
        <w:rPr>
          <w:rFonts w:hint="eastAsia" w:cs="仿宋"/>
          <w:color w:val="auto"/>
        </w:rPr>
        <w:t>月</w:t>
      </w:r>
      <w:r>
        <w:rPr>
          <w:rFonts w:hint="eastAsia" w:cs="仿宋"/>
          <w:color w:val="auto"/>
          <w:u w:val="single"/>
        </w:rPr>
        <w:t xml:space="preserve"> </w:t>
      </w:r>
      <w:r>
        <w:rPr>
          <w:rFonts w:cs="仿宋"/>
          <w:color w:val="auto"/>
          <w:u w:val="single"/>
        </w:rPr>
        <w:t xml:space="preserve">  </w:t>
      </w:r>
      <w:r>
        <w:rPr>
          <w:rFonts w:hint="eastAsia" w:cs="仿宋"/>
          <w:color w:val="auto"/>
          <w:u w:val="single"/>
        </w:rPr>
        <w:t xml:space="preserve"> </w:t>
      </w:r>
      <w:r>
        <w:rPr>
          <w:rFonts w:hint="eastAsia" w:cs="仿宋"/>
          <w:color w:val="auto"/>
        </w:rPr>
        <w:t>日</w:t>
      </w:r>
    </w:p>
    <w:p>
      <w:pPr>
        <w:spacing w:line="240"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left="239" w:leftChars="114" w:firstLine="240" w:firstLineChars="1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 xml:space="preserve">年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spacing w:line="600" w:lineRule="exact"/>
        <w:ind w:left="420" w:firstLine="5280" w:firstLineChars="2200"/>
        <w:jc w:val="both"/>
        <w:rPr>
          <w:rFonts w:cs="仿宋"/>
          <w:b/>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kern w:val="0"/>
          <w:sz w:val="24"/>
        </w:rPr>
      </w:pPr>
      <w:r>
        <w:rPr>
          <w:rFonts w:ascii="宋体" w:hAnsi="宋体" w:cs="仿宋"/>
          <w:b/>
          <w:sz w:val="24"/>
        </w:rPr>
        <w:br w:type="page"/>
      </w:r>
    </w:p>
    <w:p>
      <w:pPr>
        <w:adjustRightInd w:val="0"/>
        <w:snapToGrid w:val="0"/>
        <w:spacing w:line="600" w:lineRule="exact"/>
        <w:jc w:val="center"/>
        <w:outlineLvl w:val="0"/>
        <w:rPr>
          <w:rFonts w:ascii="黑体" w:hAnsi="黑体" w:eastAsia="黑体" w:cs="仿宋"/>
          <w:bCs/>
          <w:sz w:val="36"/>
          <w:szCs w:val="36"/>
        </w:rPr>
      </w:pPr>
      <w:bookmarkStart w:id="16" w:name="_Toc17016"/>
      <w:bookmarkStart w:id="17" w:name="_Toc12292"/>
      <w:r>
        <w:rPr>
          <w:rFonts w:hint="eastAsia" w:ascii="黑体" w:hAnsi="黑体" w:eastAsia="黑体" w:cs="仿宋"/>
          <w:bCs/>
          <w:sz w:val="36"/>
          <w:szCs w:val="36"/>
        </w:rPr>
        <w:t>第三章 评审办法</w:t>
      </w:r>
      <w:bookmarkEnd w:id="16"/>
      <w:bookmarkEnd w:id="17"/>
    </w:p>
    <w:p>
      <w:pPr>
        <w:adjustRightInd w:val="0"/>
        <w:snapToGrid w:val="0"/>
        <w:spacing w:before="120" w:beforeLines="50" w:after="120" w:afterLines="50" w:line="312" w:lineRule="auto"/>
        <w:jc w:val="center"/>
        <w:rPr>
          <w:rFonts w:ascii="黑体" w:hAnsi="黑体" w:eastAsia="黑体" w:cs="仿宋"/>
          <w:bCs/>
          <w:color w:val="auto"/>
          <w:sz w:val="32"/>
          <w:szCs w:val="32"/>
        </w:rPr>
      </w:pPr>
      <w:r>
        <w:rPr>
          <w:rFonts w:hint="eastAsia" w:ascii="黑体" w:hAnsi="黑体" w:eastAsia="黑体" w:cs="仿宋"/>
          <w:bCs/>
          <w:color w:val="auto"/>
          <w:sz w:val="32"/>
          <w:szCs w:val="32"/>
        </w:rPr>
        <w:t>评审办法前附表</w:t>
      </w:r>
    </w:p>
    <w:tbl>
      <w:tblPr>
        <w:tblStyle w:val="40"/>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响应函中实质性内容</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不存在第一章第3.</w:t>
            </w:r>
            <w:r>
              <w:rPr>
                <w:rFonts w:hint="eastAsia" w:cs="仿宋" w:asciiTheme="minorEastAsia" w:hAnsiTheme="minorEastAsia" w:eastAsiaTheme="minorEastAsia"/>
                <w:color w:val="auto"/>
                <w:szCs w:val="21"/>
                <w:lang w:val="en-US" w:eastAsia="zh-CN"/>
              </w:rPr>
              <w:t>1</w:t>
            </w:r>
            <w:r>
              <w:rPr>
                <w:rFonts w:hint="eastAsia" w:cs="仿宋" w:asciiTheme="minorEastAsia" w:hAnsiTheme="minorEastAsia" w:eastAsiaTheme="minorEastAsia"/>
                <w:color w:val="auto"/>
                <w:szCs w:val="21"/>
              </w:rPr>
              <w:t>款情形</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hint="eastAsia"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响应保证金</w:t>
            </w:r>
          </w:p>
        </w:tc>
        <w:tc>
          <w:tcPr>
            <w:tcW w:w="5676" w:type="dxa"/>
          </w:tcPr>
          <w:p>
            <w:pPr>
              <w:widowControl/>
              <w:adjustRightInd w:val="0"/>
              <w:snapToGrid w:val="0"/>
              <w:spacing w:line="288" w:lineRule="auto"/>
              <w:jc w:val="both"/>
              <w:rPr>
                <w:rFonts w:hint="eastAsia"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lang w:val="en-US" w:eastAsia="zh-CN"/>
              </w:rPr>
              <w:t>服务</w:t>
            </w:r>
            <w:r>
              <w:rPr>
                <w:rFonts w:hint="eastAsia" w:cs="仿宋" w:asciiTheme="minorEastAsia" w:hAnsiTheme="minorEastAsia" w:eastAsiaTheme="minorEastAsia"/>
                <w:color w:val="auto"/>
                <w:szCs w:val="21"/>
              </w:rPr>
              <w:t>标准</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lang w:eastAsia="zh-CN"/>
              </w:rPr>
              <w:t>服务</w:t>
            </w:r>
            <w:r>
              <w:rPr>
                <w:rFonts w:hint="eastAsia" w:cs="仿宋" w:asciiTheme="minorEastAsia" w:hAnsiTheme="minorEastAsia" w:eastAsiaTheme="minorEastAsia"/>
                <w:color w:val="auto"/>
                <w:szCs w:val="21"/>
              </w:rPr>
              <w:t>期限</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偏差范围和偏差项数符合第二章第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大写含税价格</w:t>
            </w:r>
            <w:r>
              <w:rPr>
                <w:rFonts w:hint="eastAsia" w:cs="仿宋" w:asciiTheme="minorEastAsia" w:hAnsiTheme="minorEastAsia" w:eastAsiaTheme="minorEastAsia"/>
                <w:color w:val="auto"/>
                <w:szCs w:val="21"/>
                <w:lang w:eastAsia="zh-CN"/>
              </w:rPr>
              <w:t>，</w:t>
            </w:r>
            <w:r>
              <w:rPr>
                <w:rFonts w:hint="eastAsia" w:cs="仿宋" w:asciiTheme="minorEastAsia" w:hAnsiTheme="minorEastAsia" w:eastAsiaTheme="minorEastAsia"/>
                <w:color w:val="auto"/>
                <w:szCs w:val="21"/>
                <w:lang w:val="en-US" w:eastAsia="zh-CN"/>
              </w:rPr>
              <w:t>注明税率</w:t>
            </w:r>
            <w:r>
              <w:rPr>
                <w:rFonts w:hint="eastAsia" w:cs="仿宋"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条款号</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条款内容</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w:t>
            </w:r>
          </w:p>
        </w:tc>
        <w:tc>
          <w:tcPr>
            <w:tcW w:w="1573" w:type="dxa"/>
            <w:vAlign w:val="center"/>
          </w:tcPr>
          <w:p>
            <w:pPr>
              <w:widowControl w:val="0"/>
              <w:spacing w:line="288"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报价</w:t>
            </w:r>
          </w:p>
        </w:tc>
        <w:tc>
          <w:tcPr>
            <w:tcW w:w="5676" w:type="dxa"/>
          </w:tcPr>
          <w:p>
            <w:pPr>
              <w:widowControl/>
              <w:autoSpaceDE w:val="0"/>
              <w:adjustRightInd/>
              <w:snapToGrid/>
              <w:spacing w:line="400" w:lineRule="exact"/>
              <w:jc w:val="both"/>
              <w:rPr>
                <w:rFonts w:cs="仿宋" w:asciiTheme="minorEastAsia" w:hAnsiTheme="minorEastAsia" w:eastAsiaTheme="minorEastAsia"/>
                <w:color w:val="auto"/>
                <w:szCs w:val="21"/>
              </w:rPr>
            </w:pPr>
            <w:r>
              <w:rPr>
                <w:rFonts w:hint="eastAsia" w:asciiTheme="minorEastAsia" w:hAnsiTheme="minorEastAsia" w:eastAsiaTheme="minorEastAsia"/>
                <w:color w:val="auto"/>
                <w:szCs w:val="21"/>
              </w:rPr>
              <w:t>根据</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条规定，</w:t>
            </w:r>
            <w:r>
              <w:rPr>
                <w:rFonts w:hint="eastAsia" w:asciiTheme="minorEastAsia" w:hAnsiTheme="minorEastAsia" w:eastAsiaTheme="minorEastAsia"/>
                <w:b w:val="0"/>
                <w:bCs w:val="0"/>
                <w:color w:val="auto"/>
                <w:sz w:val="21"/>
                <w:szCs w:val="21"/>
                <w:u w:val="none"/>
                <w:lang w:val="en-US" w:eastAsia="zh-CN"/>
              </w:rPr>
              <w:t>提供3%的的增值税专用发票，超过最高限价的作废。如果报价人提供其他税率的增值税专用发票，招标人按3%的的增值税税率调整报价后参</w:t>
            </w:r>
            <w:r>
              <w:rPr>
                <w:rFonts w:hint="eastAsia" w:cs="仿宋" w:asciiTheme="minorEastAsia" w:hAnsiTheme="minorEastAsia" w:eastAsiaTheme="minorEastAsia"/>
                <w:color w:val="auto"/>
                <w:szCs w:val="21"/>
              </w:rPr>
              <w:t>按照评审价格由低到高的顺序推荐成交候选供应商。</w:t>
            </w:r>
          </w:p>
        </w:tc>
      </w:tr>
    </w:tbl>
    <w:p>
      <w:pPr>
        <w:spacing w:line="288" w:lineRule="auto"/>
        <w:jc w:val="both"/>
        <w:rPr>
          <w:rFonts w:ascii="宋体" w:hAnsi="宋体" w:cs="仿宋"/>
          <w:color w:val="auto"/>
          <w:sz w:val="24"/>
        </w:rPr>
      </w:pPr>
      <w:r>
        <w:rPr>
          <w:rFonts w:hint="eastAsia" w:ascii="宋体" w:hAnsi="宋体" w:cs="仿宋"/>
          <w:color w:val="auto"/>
          <w:sz w:val="24"/>
        </w:rPr>
        <w:br w:type="page"/>
      </w:r>
    </w:p>
    <w:p>
      <w:pPr>
        <w:adjustRightInd w:val="0"/>
        <w:snapToGrid w:val="0"/>
        <w:spacing w:line="312" w:lineRule="auto"/>
        <w:jc w:val="center"/>
        <w:rPr>
          <w:rFonts w:ascii="宋体" w:hAnsi="宋体" w:cs="仿宋"/>
          <w:b/>
          <w:bCs/>
          <w:color w:val="auto"/>
          <w:sz w:val="36"/>
          <w:szCs w:val="36"/>
        </w:rPr>
      </w:pPr>
      <w:bookmarkStart w:id="18" w:name="_Toc76635709"/>
      <w:bookmarkStart w:id="19" w:name="_Toc77254130"/>
      <w:bookmarkStart w:id="20" w:name="_Toc28802"/>
      <w:bookmarkStart w:id="21" w:name="_Toc5405"/>
      <w:r>
        <w:rPr>
          <w:rFonts w:hint="eastAsia" w:ascii="宋体" w:hAnsi="宋体" w:cs="仿宋"/>
          <w:b/>
          <w:bCs/>
          <w:color w:val="auto"/>
          <w:sz w:val="36"/>
          <w:szCs w:val="36"/>
        </w:rPr>
        <w:t>评审办法正文</w:t>
      </w:r>
    </w:p>
    <w:p>
      <w:pPr>
        <w:adjustRightInd w:val="0"/>
        <w:snapToGrid w:val="0"/>
        <w:spacing w:line="312" w:lineRule="auto"/>
        <w:jc w:val="both"/>
        <w:rPr>
          <w:rFonts w:ascii="宋体" w:hAnsi="宋体" w:cs="仿宋"/>
          <w:b/>
          <w:bCs/>
          <w:color w:val="auto"/>
          <w:sz w:val="36"/>
          <w:szCs w:val="36"/>
        </w:rPr>
      </w:pP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1评审方法(最低价法)</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2初步评审标准和程序</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2.1初步评审标准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2.1.1形式评审标准:见评审办法前附表。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2.1.2资格评审标准:见评审办法前附表。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2.1.3响应性评审标准:见评审办法前附表。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2.2初步评审程序</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utoSpaceDE w:val="0"/>
        <w:spacing w:line="400" w:lineRule="exact"/>
        <w:jc w:val="both"/>
        <w:rPr>
          <w:rFonts w:hint="eastAsia" w:ascii="宋体" w:hAnsi="宋体"/>
          <w:b w:val="0"/>
          <w:bCs w:val="0"/>
          <w:color w:val="auto"/>
          <w:sz w:val="24"/>
          <w:lang w:eastAsia="zh-CN"/>
        </w:rPr>
      </w:pPr>
      <w:r>
        <w:rPr>
          <w:rFonts w:hint="eastAsia" w:ascii="宋体" w:hAnsi="宋体" w:cs="仿宋"/>
          <w:color w:val="auto"/>
          <w:sz w:val="24"/>
        </w:rPr>
        <w:t>2.2.2除评审办法前附表另有规定外，评审价格为供应商在响应函中填报的大写含税价格。</w:t>
      </w:r>
      <w:r>
        <w:rPr>
          <w:rFonts w:hint="eastAsia" w:ascii="宋体" w:hAnsi="宋体"/>
          <w:b w:val="0"/>
          <w:bCs w:val="0"/>
          <w:color w:val="auto"/>
          <w:sz w:val="24"/>
          <w:u w:val="none"/>
          <w:lang w:val="en-US" w:eastAsia="zh-CN"/>
        </w:rPr>
        <w:t>如果报价人提供其他税率的增值税专用发票，招标人按3%的的增值税税率调整报价后参与排序。</w:t>
      </w:r>
    </w:p>
    <w:p>
      <w:pPr>
        <w:adjustRightInd w:val="0"/>
        <w:snapToGrid w:val="0"/>
        <w:spacing w:line="312" w:lineRule="auto"/>
        <w:ind w:firstLine="453" w:firstLineChars="189"/>
        <w:jc w:val="both"/>
        <w:rPr>
          <w:rFonts w:ascii="宋体" w:hAnsi="宋体" w:cs="仿宋"/>
          <w:color w:val="auto"/>
          <w:sz w:val="24"/>
        </w:rPr>
      </w:pP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2.2.4供应商有串通，弄虚作假、行贿等违法行为的，其响应文件将被视为无效。</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3详细评审标准和程序(最低价法)</w:t>
      </w:r>
    </w:p>
    <w:p>
      <w:pPr>
        <w:adjustRightInd w:val="0"/>
        <w:snapToGrid w:val="0"/>
        <w:spacing w:line="312" w:lineRule="auto"/>
        <w:ind w:firstLine="931" w:firstLineChars="388"/>
        <w:jc w:val="both"/>
        <w:rPr>
          <w:rFonts w:hint="eastAsia" w:ascii="宋体" w:hAnsi="宋体" w:eastAsia="宋体" w:cs="仿宋"/>
          <w:color w:val="auto"/>
          <w:sz w:val="24"/>
        </w:rPr>
      </w:pPr>
      <w:r>
        <w:rPr>
          <w:rFonts w:hint="eastAsia" w:ascii="宋体" w:hAnsi="宋体" w:cs="仿宋"/>
          <w:color w:val="auto"/>
          <w:sz w:val="24"/>
        </w:rPr>
        <w:t>评审小组对评审价格进行比较后，按照评审价格由低到高的顺序对供应商排序。供应商评审价格相等时，</w:t>
      </w:r>
      <w:r>
        <w:rPr>
          <w:rFonts w:hint="eastAsia" w:ascii="宋体" w:hAnsi="宋体" w:eastAsia="宋体" w:cs="仿宋"/>
          <w:color w:val="auto"/>
          <w:sz w:val="24"/>
        </w:rPr>
        <w:t>则以投标报价低的投标人优先，若评审价相同且报价也相同时，以技术优的投标人优先。若评审价相同、报价相同且技术也相同时则按抽签决定排名顺序。</w:t>
      </w:r>
    </w:p>
    <w:p>
      <w:pPr>
        <w:adjustRightInd w:val="0"/>
        <w:snapToGrid w:val="0"/>
        <w:spacing w:line="312" w:lineRule="auto"/>
        <w:ind w:firstLine="482" w:firstLineChars="200"/>
        <w:jc w:val="both"/>
        <w:rPr>
          <w:rFonts w:ascii="宋体" w:hAnsi="宋体" w:cs="仿宋"/>
          <w:b/>
          <w:bCs/>
          <w:color w:val="auto"/>
          <w:sz w:val="24"/>
        </w:rPr>
      </w:pPr>
      <w:r>
        <w:rPr>
          <w:rFonts w:hint="eastAsia" w:ascii="宋体" w:hAnsi="宋体" w:cs="仿宋"/>
          <w:b/>
          <w:bCs/>
          <w:color w:val="auto"/>
          <w:sz w:val="24"/>
        </w:rPr>
        <w:t>4评审结果</w:t>
      </w:r>
    </w:p>
    <w:p>
      <w:pPr>
        <w:adjustRightInd w:val="0"/>
        <w:snapToGrid w:val="0"/>
        <w:spacing w:line="312" w:lineRule="auto"/>
        <w:ind w:firstLine="482" w:firstLineChars="200"/>
        <w:jc w:val="both"/>
        <w:rPr>
          <w:rFonts w:ascii="宋体" w:hAnsi="宋体" w:cs="仿宋"/>
          <w:b/>
          <w:bCs/>
          <w:color w:val="auto"/>
          <w:sz w:val="24"/>
        </w:rPr>
      </w:pPr>
      <w:r>
        <w:rPr>
          <w:rFonts w:hint="eastAsia" w:ascii="宋体" w:hAnsi="宋体" w:cs="仿宋"/>
          <w:b/>
          <w:bCs/>
          <w:color w:val="auto"/>
          <w:sz w:val="24"/>
        </w:rPr>
        <w:t>4.1提交书面评审报告</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评审小组完成评审后，应当向采购人提交书面评审报告。</w:t>
      </w:r>
    </w:p>
    <w:p>
      <w:pPr>
        <w:adjustRightInd w:val="0"/>
        <w:snapToGrid w:val="0"/>
        <w:spacing w:line="312" w:lineRule="auto"/>
        <w:ind w:firstLine="482" w:firstLineChars="200"/>
        <w:jc w:val="both"/>
        <w:rPr>
          <w:rFonts w:ascii="宋体" w:hAnsi="宋体" w:cs="仿宋"/>
          <w:b/>
          <w:bCs/>
          <w:color w:val="auto"/>
          <w:sz w:val="24"/>
        </w:rPr>
      </w:pPr>
      <w:r>
        <w:rPr>
          <w:rFonts w:hint="eastAsia" w:ascii="宋体" w:hAnsi="宋体" w:cs="仿宋"/>
          <w:b/>
          <w:bCs/>
          <w:color w:val="auto"/>
          <w:sz w:val="24"/>
        </w:rPr>
        <w:t>4.2推荐成交候选供应商排序要求及数量</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评审小组应在书面评审报告中按照供应商排列的优先顺序向采购人推荐成交候选供应商(排序或不排序)。成交候选供应商的排序要求及数量</w:t>
      </w:r>
      <w:r>
        <w:rPr>
          <w:rFonts w:hint="eastAsia" w:ascii="宋体" w:hAnsi="宋体" w:cs="仿宋"/>
          <w:color w:val="auto"/>
          <w:sz w:val="24"/>
          <w:highlight w:val="none"/>
        </w:rPr>
        <w:t>见第二章“供应商须</w:t>
      </w:r>
      <w:r>
        <w:rPr>
          <w:rFonts w:hint="eastAsia" w:ascii="宋体" w:hAnsi="宋体" w:cs="仿宋"/>
          <w:color w:val="auto"/>
          <w:sz w:val="24"/>
        </w:rPr>
        <w:t>知”。</w:t>
      </w:r>
    </w:p>
    <w:p>
      <w:pPr>
        <w:widowControl w:val="0"/>
        <w:snapToGrid w:val="0"/>
        <w:spacing w:line="490" w:lineRule="exact"/>
        <w:jc w:val="center"/>
        <w:outlineLvl w:val="9"/>
        <w:rPr>
          <w:rFonts w:ascii="黑体" w:hAnsi="黑体" w:eastAsia="黑体" w:cs="宋体"/>
          <w:color w:val="auto"/>
          <w:kern w:val="44"/>
          <w:sz w:val="32"/>
          <w:szCs w:val="32"/>
        </w:rPr>
      </w:pPr>
    </w:p>
    <w:p>
      <w:pPr>
        <w:widowControl w:val="0"/>
        <w:snapToGrid w:val="0"/>
        <w:spacing w:line="490" w:lineRule="exact"/>
        <w:jc w:val="center"/>
        <w:outlineLvl w:val="9"/>
        <w:rPr>
          <w:rFonts w:ascii="黑体" w:hAnsi="黑体" w:eastAsia="黑体" w:cs="宋体"/>
          <w:color w:val="auto"/>
          <w:kern w:val="44"/>
          <w:sz w:val="32"/>
          <w:szCs w:val="32"/>
        </w:rPr>
      </w:pPr>
    </w:p>
    <w:p>
      <w:pPr>
        <w:widowControl w:val="0"/>
        <w:snapToGrid w:val="0"/>
        <w:spacing w:line="490" w:lineRule="exact"/>
        <w:jc w:val="center"/>
        <w:outlineLvl w:val="9"/>
        <w:rPr>
          <w:rFonts w:ascii="黑体" w:hAnsi="黑体" w:eastAsia="黑体" w:cs="宋体"/>
          <w:color w:val="auto"/>
          <w:kern w:val="44"/>
          <w:sz w:val="32"/>
          <w:szCs w:val="32"/>
        </w:rPr>
      </w:pPr>
    </w:p>
    <w:bookmarkEnd w:id="18"/>
    <w:bookmarkEnd w:id="19"/>
    <w:bookmarkEnd w:id="20"/>
    <w:bookmarkEnd w:id="21"/>
    <w:p>
      <w:pPr>
        <w:rPr>
          <w:rFonts w:ascii="黑体" w:hAnsi="黑体" w:eastAsia="黑体"/>
          <w:sz w:val="32"/>
          <w:szCs w:val="32"/>
        </w:rPr>
      </w:pPr>
    </w:p>
    <w:p>
      <w:pPr>
        <w:pStyle w:val="2"/>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76"/>
        <w:spacing w:line="600" w:lineRule="exact"/>
        <w:ind w:left="420" w:firstLine="0" w:firstLineChars="0"/>
        <w:jc w:val="center"/>
        <w:outlineLvl w:val="0"/>
        <w:rPr>
          <w:rFonts w:ascii="黑体" w:hAnsi="黑体" w:eastAsia="黑体" w:cs="仿宋"/>
          <w:b/>
          <w:sz w:val="36"/>
          <w:szCs w:val="36"/>
          <w:highlight w:val="none"/>
        </w:rPr>
      </w:pPr>
      <w:bookmarkStart w:id="22" w:name="_Toc9442"/>
      <w:bookmarkStart w:id="23" w:name="_Toc3091"/>
      <w:r>
        <w:rPr>
          <w:rFonts w:hint="eastAsia" w:ascii="黑体" w:hAnsi="黑体" w:eastAsia="黑体" w:cs="仿宋"/>
          <w:b/>
          <w:sz w:val="36"/>
          <w:szCs w:val="36"/>
          <w:highlight w:val="none"/>
        </w:rPr>
        <w:t>第四章  合同条款及格式</w:t>
      </w:r>
      <w:bookmarkEnd w:id="22"/>
      <w:bookmarkEnd w:id="23"/>
    </w:p>
    <w:p>
      <w:pPr>
        <w:spacing w:line="312" w:lineRule="auto"/>
        <w:ind w:firstLine="544" w:firstLineChars="227"/>
        <w:jc w:val="both"/>
        <w:rPr>
          <w:rFonts w:cs="仿宋" w:asciiTheme="minorEastAsia" w:hAnsiTheme="minorEastAsia" w:eastAsiaTheme="minorEastAsia"/>
          <w:sz w:val="24"/>
          <w:highlight w:val="none"/>
        </w:rPr>
      </w:pPr>
    </w:p>
    <w:p>
      <w:pPr>
        <w:spacing w:line="312" w:lineRule="auto"/>
        <w:ind w:firstLine="544" w:firstLineChars="227"/>
        <w:jc w:val="both"/>
        <w:rPr>
          <w:rFonts w:cs="仿宋" w:asciiTheme="minorEastAsia" w:hAnsiTheme="minorEastAsia" w:eastAsiaTheme="minorEastAsia"/>
          <w:sz w:val="24"/>
          <w:highlight w:val="none"/>
        </w:rPr>
      </w:pPr>
    </w:p>
    <w:p>
      <w:pPr>
        <w:tabs>
          <w:tab w:val="left" w:pos="735"/>
        </w:tabs>
        <w:ind w:right="560"/>
        <w:jc w:val="center"/>
        <w:rPr>
          <w:rFonts w:asciiTheme="minorEastAsia" w:hAnsiTheme="minorEastAsia"/>
          <w:b/>
          <w:sz w:val="24"/>
          <w:highlight w:val="none"/>
        </w:rPr>
      </w:pPr>
      <w:r>
        <w:rPr>
          <w:rFonts w:asciiTheme="minorEastAsia" w:hAnsiTheme="minorEastAsia"/>
          <w:b/>
          <w:sz w:val="24"/>
          <w:highlight w:val="none"/>
        </w:rPr>
        <w:t xml:space="preserve">                               </w:t>
      </w:r>
      <w:r>
        <w:rPr>
          <w:rFonts w:asciiTheme="minorEastAsia" w:hAnsiTheme="minorEastAsia"/>
          <w:b/>
          <w:sz w:val="24"/>
          <w:highlight w:val="none"/>
        </w:rPr>
        <w:fldChar w:fldCharType="begin">
          <w:ffData>
            <w:name w:val="文字1"/>
            <w:enabled/>
            <w:calcOnExit w:val="0"/>
            <w:textInput/>
          </w:ffData>
        </w:fldChar>
      </w:r>
      <w:bookmarkStart w:id="24" w:name="文字1"/>
      <w:r>
        <w:rPr>
          <w:rFonts w:asciiTheme="minorEastAsia" w:hAnsiTheme="minorEastAsia"/>
          <w:b/>
          <w:sz w:val="24"/>
          <w:highlight w:val="none"/>
        </w:rPr>
        <w:instrText xml:space="preserve"> FORMTEXT </w:instrText>
      </w:r>
      <w:r>
        <w:rPr>
          <w:rFonts w:asciiTheme="minorEastAsia" w:hAnsiTheme="minorEastAsia"/>
          <w:b/>
          <w:sz w:val="24"/>
          <w:highlight w:val="none"/>
        </w:rPr>
        <w:fldChar w:fldCharType="separate"/>
      </w:r>
      <w:r>
        <w:rPr>
          <w:rFonts w:hint="eastAsia" w:asciiTheme="minorEastAsia" w:hAnsiTheme="minorEastAsia"/>
          <w:b/>
          <w:sz w:val="24"/>
          <w:highlight w:val="none"/>
        </w:rPr>
        <w:t>合同登记编号：</w:t>
      </w:r>
      <w:r>
        <w:rPr>
          <w:rFonts w:asciiTheme="minorEastAsia" w:hAnsiTheme="minorEastAsia"/>
          <w:b/>
          <w:sz w:val="24"/>
          <w:highlight w:val="none"/>
        </w:rPr>
        <w:fldChar w:fldCharType="end"/>
      </w:r>
      <w:bookmarkEnd w:id="24"/>
      <w:r>
        <w:rPr>
          <w:rFonts w:asciiTheme="minorEastAsia" w:hAnsiTheme="minorEastAsia"/>
          <w:b/>
          <w:sz w:val="24"/>
          <w:highlight w:val="none"/>
          <w:u w:val="single"/>
        </w:rPr>
        <w:t xml:space="preserve">          </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spacing w:before="240" w:after="60" w:line="360" w:lineRule="auto"/>
        <w:jc w:val="center"/>
        <w:outlineLvl w:val="0"/>
        <w:rPr>
          <w:rFonts w:ascii="宋体" w:hAnsi="宋体"/>
          <w:b/>
          <w:bCs/>
          <w:kern w:val="0"/>
          <w:sz w:val="52"/>
          <w:szCs w:val="52"/>
          <w:highlight w:val="none"/>
        </w:rPr>
      </w:pPr>
      <w:bookmarkStart w:id="25" w:name="_Toc4055"/>
      <w:bookmarkStart w:id="26" w:name="_Toc22851"/>
      <w:r>
        <w:rPr>
          <w:rFonts w:hint="eastAsia" w:ascii="宋体" w:hAnsi="宋体"/>
          <w:b/>
          <w:bCs/>
          <w:kern w:val="0"/>
          <w:sz w:val="52"/>
          <w:szCs w:val="52"/>
          <w:highlight w:val="none"/>
          <w:lang w:val="en-US" w:eastAsia="zh-CN"/>
        </w:rPr>
        <w:t>劳务外包</w:t>
      </w:r>
      <w:r>
        <w:rPr>
          <w:rFonts w:hint="eastAsia" w:ascii="宋体" w:hAnsi="宋体"/>
          <w:b/>
          <w:bCs/>
          <w:kern w:val="0"/>
          <w:sz w:val="52"/>
          <w:szCs w:val="52"/>
          <w:highlight w:val="none"/>
        </w:rPr>
        <w:t>服务合同</w:t>
      </w:r>
      <w:bookmarkEnd w:id="25"/>
      <w:bookmarkEnd w:id="26"/>
    </w:p>
    <w:p>
      <w:pPr>
        <w:adjustRightInd w:val="0"/>
        <w:snapToGrid w:val="0"/>
        <w:ind w:right="-334" w:rightChars="-159"/>
        <w:jc w:val="center"/>
        <w:rPr>
          <w:rFonts w:ascii="宋体" w:hAnsi="宋体"/>
          <w:b/>
          <w:bCs/>
          <w:sz w:val="28"/>
        </w:rPr>
      </w:pPr>
    </w:p>
    <w:p>
      <w:pPr>
        <w:adjustRightInd w:val="0"/>
        <w:snapToGrid w:val="0"/>
        <w:ind w:right="-334" w:rightChars="-159"/>
        <w:jc w:val="center"/>
        <w:rPr>
          <w:rFonts w:ascii="宋体" w:hAnsi="宋体"/>
          <w:b/>
          <w:bCs/>
          <w:sz w:val="28"/>
        </w:rPr>
      </w:pPr>
    </w:p>
    <w:p>
      <w:pPr>
        <w:adjustRightInd w:val="0"/>
        <w:snapToGrid w:val="0"/>
        <w:ind w:right="-334" w:rightChars="-159"/>
        <w:jc w:val="center"/>
        <w:rPr>
          <w:rFonts w:ascii="宋体" w:hAnsi="宋体"/>
          <w:b/>
          <w:bCs/>
          <w:sz w:val="28"/>
        </w:rPr>
      </w:pPr>
    </w:p>
    <w:p>
      <w:pPr>
        <w:adjustRightInd w:val="0"/>
        <w:spacing w:line="360" w:lineRule="auto"/>
        <w:ind w:left="3259" w:leftChars="1552" w:right="-34" w:rightChars="-16"/>
        <w:rPr>
          <w:rFonts w:ascii="宋体" w:hAnsi="宋体"/>
          <w:b/>
          <w:bCs/>
          <w:sz w:val="30"/>
          <w:szCs w:val="30"/>
        </w:rPr>
      </w:pPr>
      <w:r>
        <w:rPr>
          <w:rFonts w:hint="eastAsia" w:ascii="宋体" w:hAnsi="宋体"/>
          <w:b/>
          <w:bCs/>
          <w:sz w:val="30"/>
          <w:szCs w:val="30"/>
        </w:rPr>
        <w:t xml:space="preserve">               </w:t>
      </w:r>
    </w:p>
    <w:p>
      <w:pPr>
        <w:adjustRightInd w:val="0"/>
        <w:snapToGrid w:val="0"/>
        <w:ind w:right="-334" w:rightChars="-159" w:firstLine="1687" w:firstLineChars="600"/>
        <w:rPr>
          <w:rFonts w:ascii="宋体" w:hAnsi="宋体"/>
          <w:b/>
          <w:bCs/>
          <w:sz w:val="28"/>
        </w:rPr>
      </w:pPr>
    </w:p>
    <w:p>
      <w:pPr>
        <w:adjustRightInd w:val="0"/>
        <w:snapToGrid w:val="0"/>
        <w:ind w:right="-334" w:rightChars="-159" w:firstLine="1687" w:firstLineChars="600"/>
        <w:rPr>
          <w:rFonts w:ascii="宋体" w:hAnsi="宋体"/>
          <w:b/>
          <w:bCs/>
          <w:sz w:val="28"/>
        </w:rPr>
      </w:pPr>
    </w:p>
    <w:p>
      <w:pPr>
        <w:adjustRightInd w:val="0"/>
        <w:snapToGrid w:val="0"/>
        <w:ind w:right="-334" w:rightChars="-159"/>
        <w:rPr>
          <w:rFonts w:ascii="宋体" w:hAnsi="宋体"/>
          <w:b/>
          <w:bCs/>
          <w:sz w:val="28"/>
        </w:rPr>
      </w:pPr>
    </w:p>
    <w:p>
      <w:pPr>
        <w:adjustRightInd w:val="0"/>
        <w:snapToGrid w:val="0"/>
        <w:ind w:right="-334" w:rightChars="-159"/>
        <w:rPr>
          <w:rFonts w:ascii="宋体" w:hAnsi="宋体"/>
          <w:b/>
          <w:bCs/>
          <w:sz w:val="28"/>
        </w:rPr>
      </w:pPr>
    </w:p>
    <w:p>
      <w:pPr>
        <w:adjustRightInd w:val="0"/>
        <w:snapToGrid w:val="0"/>
        <w:ind w:right="-334" w:rightChars="-159"/>
        <w:rPr>
          <w:rFonts w:ascii="宋体" w:hAnsi="宋体"/>
          <w:b/>
          <w:bCs/>
          <w:sz w:val="28"/>
        </w:rPr>
      </w:pPr>
    </w:p>
    <w:p>
      <w:pPr>
        <w:adjustRightInd w:val="0"/>
        <w:snapToGrid w:val="0"/>
        <w:ind w:right="-334" w:rightChars="-159"/>
        <w:rPr>
          <w:rFonts w:ascii="宋体" w:hAnsi="宋体"/>
          <w:b/>
          <w:bCs/>
          <w:sz w:val="28"/>
        </w:rPr>
      </w:pPr>
    </w:p>
    <w:p>
      <w:pPr>
        <w:adjustRightInd w:val="0"/>
        <w:snapToGrid w:val="0"/>
        <w:ind w:left="1680" w:leftChars="800" w:right="-334" w:rightChars="-159"/>
        <w:jc w:val="both"/>
        <w:rPr>
          <w:rFonts w:hint="default" w:ascii="宋体" w:hAnsi="宋体" w:eastAsia="宋体"/>
          <w:b/>
          <w:bCs/>
          <w:sz w:val="30"/>
          <w:szCs w:val="30"/>
          <w:lang w:val="en-US" w:eastAsia="zh-CN"/>
        </w:rPr>
      </w:pPr>
      <w:r>
        <w:rPr>
          <w:rFonts w:hint="eastAsia" w:ascii="宋体" w:hAnsi="宋体"/>
          <w:b/>
          <w:bCs/>
          <w:sz w:val="32"/>
          <w:szCs w:val="30"/>
        </w:rPr>
        <w:t>项目名称：</w:t>
      </w:r>
      <w:r>
        <w:rPr>
          <w:rFonts w:hint="eastAsia" w:ascii="宋体" w:hAnsi="宋体"/>
          <w:b/>
          <w:bCs/>
          <w:sz w:val="32"/>
          <w:szCs w:val="30"/>
          <w:u w:val="single"/>
          <w:lang w:val="en-US" w:eastAsia="zh-CN"/>
        </w:rPr>
        <w:t>2023年铁运公司连接员劳务外包</w:t>
      </w:r>
      <w:r>
        <w:rPr>
          <w:rFonts w:hint="eastAsia" w:ascii="宋体" w:hAnsi="宋体"/>
          <w:b/>
          <w:bCs/>
          <w:sz w:val="32"/>
          <w:szCs w:val="30"/>
          <w:u w:val="single"/>
        </w:rPr>
        <w:t>服务</w:t>
      </w:r>
    </w:p>
    <w:p>
      <w:pPr>
        <w:adjustRightInd w:val="0"/>
        <w:snapToGrid w:val="0"/>
        <w:ind w:left="1680" w:leftChars="800" w:right="-334" w:rightChars="-159" w:firstLine="630" w:firstLineChars="196"/>
        <w:jc w:val="center"/>
        <w:rPr>
          <w:rFonts w:ascii="宋体" w:hAnsi="宋体"/>
          <w:b/>
          <w:bCs/>
          <w:sz w:val="32"/>
          <w:szCs w:val="32"/>
        </w:rPr>
      </w:pPr>
    </w:p>
    <w:p>
      <w:pPr>
        <w:adjustRightInd w:val="0"/>
        <w:snapToGrid w:val="0"/>
        <w:spacing w:line="360" w:lineRule="auto"/>
        <w:ind w:left="1680" w:leftChars="800"/>
        <w:rPr>
          <w:rFonts w:ascii="宋体" w:hAnsi="宋体"/>
          <w:bCs/>
          <w:sz w:val="30"/>
          <w:szCs w:val="30"/>
        </w:rPr>
      </w:pPr>
      <w:r>
        <w:rPr>
          <w:rFonts w:hint="eastAsia" w:ascii="宋体" w:hAnsi="宋体"/>
          <w:b/>
          <w:bCs/>
          <w:sz w:val="30"/>
          <w:szCs w:val="30"/>
        </w:rPr>
        <w:t xml:space="preserve">甲    </w:t>
      </w:r>
      <w:r>
        <w:rPr>
          <w:rFonts w:ascii="宋体" w:hAnsi="宋体"/>
          <w:b/>
          <w:bCs/>
          <w:sz w:val="30"/>
          <w:szCs w:val="30"/>
        </w:rPr>
        <w:t xml:space="preserve"> </w:t>
      </w:r>
      <w:r>
        <w:rPr>
          <w:rFonts w:hint="eastAsia" w:ascii="宋体" w:hAnsi="宋体"/>
          <w:b/>
          <w:bCs/>
          <w:sz w:val="30"/>
          <w:szCs w:val="30"/>
        </w:rPr>
        <w:t>方</w:t>
      </w:r>
      <w:r>
        <w:rPr>
          <w:rFonts w:hint="eastAsia" w:ascii="宋体" w:hAnsi="宋体"/>
          <w:bCs/>
          <w:sz w:val="30"/>
          <w:szCs w:val="30"/>
        </w:rPr>
        <w:t>：</w:t>
      </w:r>
      <w:r>
        <w:rPr>
          <w:rFonts w:hint="eastAsia" w:ascii="宋体" w:hAnsi="宋体"/>
          <w:bCs/>
          <w:sz w:val="30"/>
          <w:szCs w:val="30"/>
          <w:u w:val="single"/>
        </w:rPr>
        <w:t xml:space="preserve">  </w:t>
      </w:r>
      <w:r>
        <w:rPr>
          <w:rFonts w:hint="eastAsia" w:ascii="宋体" w:hAnsi="宋体"/>
          <w:b/>
          <w:bCs/>
          <w:sz w:val="32"/>
          <w:szCs w:val="30"/>
          <w:u w:val="single"/>
        </w:rPr>
        <w:t xml:space="preserve">岳阳城陵矶港务有限责任公司     </w:t>
      </w:r>
      <w:r>
        <w:rPr>
          <w:rFonts w:hint="eastAsia" w:ascii="宋体" w:hAnsi="宋体"/>
          <w:bCs/>
          <w:sz w:val="30"/>
          <w:szCs w:val="30"/>
        </w:rPr>
        <w:t xml:space="preserve">                </w:t>
      </w:r>
    </w:p>
    <w:p>
      <w:pPr>
        <w:adjustRightInd w:val="0"/>
        <w:snapToGrid w:val="0"/>
        <w:spacing w:line="360" w:lineRule="auto"/>
        <w:ind w:left="1680" w:leftChars="800"/>
        <w:rPr>
          <w:rFonts w:ascii="宋体" w:hAnsi="宋体"/>
          <w:b/>
          <w:bCs/>
          <w:sz w:val="30"/>
          <w:szCs w:val="30"/>
        </w:rPr>
      </w:pPr>
      <w:r>
        <w:rPr>
          <w:rFonts w:hint="eastAsia" w:ascii="宋体" w:hAnsi="宋体"/>
          <w:b/>
          <w:bCs/>
          <w:sz w:val="30"/>
          <w:szCs w:val="30"/>
        </w:rPr>
        <w:t xml:space="preserve">乙   </w:t>
      </w:r>
      <w:r>
        <w:rPr>
          <w:rFonts w:ascii="宋体" w:hAnsi="宋体"/>
          <w:b/>
          <w:bCs/>
          <w:sz w:val="30"/>
          <w:szCs w:val="30"/>
        </w:rPr>
        <w:t xml:space="preserve"> </w:t>
      </w:r>
      <w:r>
        <w:rPr>
          <w:rFonts w:hint="eastAsia" w:ascii="宋体" w:hAnsi="宋体"/>
          <w:b/>
          <w:bCs/>
          <w:sz w:val="30"/>
          <w:szCs w:val="30"/>
        </w:rPr>
        <w:t xml:space="preserve"> 方</w:t>
      </w:r>
      <w:r>
        <w:rPr>
          <w:rFonts w:hint="eastAsia" w:ascii="宋体" w:hAnsi="宋体"/>
          <w:bCs/>
          <w:sz w:val="30"/>
          <w:szCs w:val="30"/>
        </w:rPr>
        <w:t>：</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p>
    <w:p>
      <w:pPr>
        <w:adjustRightInd w:val="0"/>
        <w:snapToGrid w:val="0"/>
        <w:spacing w:line="360" w:lineRule="auto"/>
        <w:ind w:left="1680" w:leftChars="800"/>
        <w:rPr>
          <w:rFonts w:ascii="宋体" w:hAnsi="宋体"/>
          <w:b/>
          <w:bCs/>
          <w:sz w:val="30"/>
          <w:szCs w:val="30"/>
          <w:u w:val="single"/>
        </w:rPr>
      </w:pPr>
      <w:r>
        <w:rPr>
          <w:rFonts w:hint="eastAsia" w:ascii="宋体" w:hAnsi="宋体"/>
          <w:b/>
          <w:bCs/>
          <w:sz w:val="30"/>
          <w:szCs w:val="30"/>
        </w:rPr>
        <w:t>签订时间</w:t>
      </w:r>
      <w:r>
        <w:rPr>
          <w:rFonts w:hint="eastAsia" w:ascii="宋体" w:hAnsi="宋体"/>
          <w:bCs/>
          <w:sz w:val="30"/>
          <w:szCs w:val="30"/>
        </w:rPr>
        <w:t>：</w:t>
      </w:r>
      <w:r>
        <w:rPr>
          <w:rFonts w:hint="eastAsia" w:ascii="宋体" w:hAnsi="宋体"/>
          <w:bCs/>
          <w:sz w:val="30"/>
          <w:szCs w:val="30"/>
          <w:u w:val="single"/>
        </w:rPr>
        <w:t xml:space="preserve">   </w:t>
      </w:r>
      <w:r>
        <w:rPr>
          <w:rFonts w:hint="eastAsia" w:ascii="宋体" w:hAnsi="宋体"/>
          <w:b/>
          <w:bCs/>
          <w:sz w:val="32"/>
          <w:szCs w:val="30"/>
          <w:u w:val="single"/>
        </w:rPr>
        <w:t>202</w:t>
      </w:r>
      <w:r>
        <w:rPr>
          <w:rFonts w:hint="eastAsia" w:ascii="宋体" w:hAnsi="宋体"/>
          <w:b/>
          <w:bCs/>
          <w:sz w:val="32"/>
          <w:szCs w:val="30"/>
          <w:u w:val="single"/>
          <w:lang w:val="en-US" w:eastAsia="zh-CN"/>
        </w:rPr>
        <w:t>3</w:t>
      </w:r>
      <w:r>
        <w:rPr>
          <w:rFonts w:hint="eastAsia" w:ascii="宋体" w:hAnsi="宋体"/>
          <w:b/>
          <w:bCs/>
          <w:sz w:val="32"/>
          <w:szCs w:val="30"/>
          <w:u w:val="single"/>
        </w:rPr>
        <w:t xml:space="preserve">年    月     日      </w:t>
      </w:r>
      <w:r>
        <w:rPr>
          <w:rFonts w:hint="eastAsia" w:ascii="宋体" w:hAnsi="宋体"/>
          <w:b/>
          <w:bCs/>
          <w:sz w:val="30"/>
          <w:szCs w:val="30"/>
          <w:u w:val="single"/>
        </w:rPr>
        <w:t xml:space="preserve">   </w:t>
      </w:r>
    </w:p>
    <w:p>
      <w:pPr>
        <w:adjustRightInd w:val="0"/>
        <w:snapToGrid w:val="0"/>
        <w:spacing w:line="360" w:lineRule="auto"/>
        <w:ind w:left="1680" w:leftChars="800"/>
        <w:rPr>
          <w:rFonts w:ascii="宋体" w:hAnsi="宋体"/>
          <w:sz w:val="30"/>
          <w:szCs w:val="30"/>
          <w:u w:val="single"/>
        </w:rPr>
      </w:pPr>
      <w:r>
        <w:rPr>
          <w:rFonts w:hint="eastAsia" w:ascii="宋体" w:hAnsi="宋体"/>
          <w:b/>
          <w:bCs/>
          <w:sz w:val="30"/>
          <w:szCs w:val="30"/>
        </w:rPr>
        <w:t>签订地点</w:t>
      </w:r>
      <w:r>
        <w:rPr>
          <w:rFonts w:hint="eastAsia" w:ascii="宋体" w:hAnsi="宋体"/>
          <w:bCs/>
          <w:sz w:val="30"/>
          <w:szCs w:val="30"/>
        </w:rPr>
        <w:t>：</w:t>
      </w:r>
      <w:r>
        <w:rPr>
          <w:rFonts w:hint="eastAsia" w:ascii="宋体" w:hAnsi="宋体"/>
          <w:sz w:val="30"/>
          <w:szCs w:val="30"/>
          <w:u w:val="single"/>
        </w:rPr>
        <w:t xml:space="preserve">                           </w:t>
      </w:r>
      <w:r>
        <w:rPr>
          <w:rFonts w:ascii="宋体" w:hAnsi="宋体"/>
          <w:sz w:val="30"/>
          <w:szCs w:val="30"/>
          <w:u w:val="single"/>
        </w:rPr>
        <w:t xml:space="preserve">      </w:t>
      </w:r>
    </w:p>
    <w:p>
      <w:pPr>
        <w:pStyle w:val="2"/>
        <w:rPr>
          <w:rFonts w:ascii="宋体" w:hAnsi="宋体"/>
          <w:sz w:val="30"/>
          <w:szCs w:val="30"/>
          <w:u w:val="single"/>
        </w:rPr>
      </w:pPr>
    </w:p>
    <w:p>
      <w:pPr>
        <w:adjustRightInd w:val="0"/>
        <w:snapToGrid w:val="0"/>
        <w:spacing w:line="360" w:lineRule="auto"/>
        <w:ind w:firstLine="2520" w:firstLineChars="700"/>
        <w:jc w:val="both"/>
        <w:rPr>
          <w:rFonts w:ascii="黑体" w:hAnsi="黑体" w:eastAsia="黑体"/>
          <w:sz w:val="36"/>
          <w:szCs w:val="36"/>
        </w:rPr>
      </w:pPr>
      <w:r>
        <w:rPr>
          <w:rFonts w:hint="eastAsia" w:ascii="黑体" w:hAnsi="黑体" w:eastAsia="黑体"/>
          <w:sz w:val="36"/>
          <w:szCs w:val="36"/>
        </w:rPr>
        <w:t>岳阳城陵矶港务有限责任公司</w:t>
      </w:r>
    </w:p>
    <w:p>
      <w:pPr>
        <w:adjustRightInd w:val="0"/>
        <w:snapToGrid w:val="0"/>
        <w:spacing w:line="360" w:lineRule="auto"/>
        <w:ind w:firstLine="1800" w:firstLineChars="500"/>
        <w:jc w:val="both"/>
        <w:rPr>
          <w:rFonts w:ascii="黑体" w:hAnsi="黑体" w:eastAsia="黑体"/>
          <w:sz w:val="36"/>
          <w:szCs w:val="36"/>
        </w:rPr>
      </w:pPr>
      <w:r>
        <w:rPr>
          <w:rFonts w:hint="eastAsia" w:ascii="黑体" w:hAnsi="黑体" w:eastAsia="黑体"/>
          <w:sz w:val="36"/>
          <w:szCs w:val="36"/>
          <w:lang w:val="en-US" w:eastAsia="zh-CN"/>
        </w:rPr>
        <w:t>铁运公司调车作业连接员</w:t>
      </w:r>
      <w:r>
        <w:rPr>
          <w:rFonts w:hint="eastAsia" w:ascii="黑体" w:hAnsi="黑体" w:eastAsia="黑体"/>
          <w:sz w:val="36"/>
          <w:szCs w:val="36"/>
        </w:rPr>
        <w:t>劳务外包</w:t>
      </w:r>
      <w:r>
        <w:rPr>
          <w:rFonts w:hint="eastAsia" w:ascii="黑体" w:hAnsi="黑体" w:eastAsia="黑体" w:cs="仿宋"/>
          <w:bCs/>
          <w:color w:val="000000"/>
          <w:sz w:val="36"/>
          <w:szCs w:val="36"/>
        </w:rPr>
        <w:t>合同</w:t>
      </w:r>
    </w:p>
    <w:p>
      <w:pPr>
        <w:adjustRightInd w:val="0"/>
        <w:snapToGrid w:val="0"/>
        <w:spacing w:line="360" w:lineRule="auto"/>
        <w:ind w:left="2159" w:leftChars="228" w:hanging="1680" w:hangingChars="700"/>
        <w:jc w:val="both"/>
        <w:rPr>
          <w:rFonts w:ascii="宋体" w:hAnsi="宋体"/>
          <w:sz w:val="24"/>
        </w:rPr>
      </w:pPr>
      <w:r>
        <w:rPr>
          <w:rFonts w:hint="eastAsia" w:ascii="宋体" w:hAnsi="宋体"/>
          <w:sz w:val="24"/>
        </w:rPr>
        <w:t>本合同协议书由岳阳城陵矶港务有限责任公司（以下简称“甲方”）与</w:t>
      </w:r>
      <w:r>
        <w:rPr>
          <w:rFonts w:hint="eastAsia" w:cs="仿宋" w:asciiTheme="minorEastAsia" w:hAnsiTheme="minorEastAsia" w:eastAsiaTheme="minorEastAsia"/>
          <w:kern w:val="0"/>
          <w:sz w:val="24"/>
          <w:highlight w:val="none"/>
          <w:u w:val="single"/>
          <w:lang w:val="en-US" w:eastAsia="zh-CN" w:bidi="ar"/>
        </w:rPr>
        <w:t xml:space="preserve"> </w:t>
      </w:r>
      <w:r>
        <w:rPr>
          <w:rFonts w:hint="eastAsia" w:cs="仿宋" w:asciiTheme="minorEastAsia" w:hAnsiTheme="minorEastAsia" w:eastAsiaTheme="minorEastAsia"/>
          <w:kern w:val="0"/>
          <w:sz w:val="24"/>
          <w:highlight w:val="none"/>
          <w:u w:val="none"/>
          <w:lang w:val="en-US" w:eastAsia="zh-CN" w:bidi="ar"/>
        </w:rPr>
        <w:t xml:space="preserve">     </w:t>
      </w:r>
      <w:r>
        <w:rPr>
          <w:rFonts w:hint="eastAsia" w:cs="仿宋" w:asciiTheme="minorEastAsia" w:hAnsiTheme="minorEastAsia" w:eastAsiaTheme="minorEastAsia"/>
          <w:kern w:val="0"/>
          <w:sz w:val="24"/>
          <w:highlight w:val="none"/>
          <w:u w:val="single"/>
          <w:lang w:val="en-US" w:eastAsia="zh-CN" w:bidi="ar"/>
        </w:rPr>
        <w:t xml:space="preserve">    </w:t>
      </w:r>
      <w:r>
        <w:rPr>
          <w:rFonts w:hint="eastAsia" w:ascii="宋体" w:hAnsi="宋体"/>
          <w:sz w:val="24"/>
        </w:rPr>
        <w:t>(以下简称“乙方”)于202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日共同订署。</w:t>
      </w:r>
    </w:p>
    <w:p>
      <w:pPr>
        <w:adjustRightInd w:val="0"/>
        <w:snapToGrid w:val="0"/>
        <w:spacing w:line="360" w:lineRule="auto"/>
        <w:ind w:firstLine="480" w:firstLineChars="200"/>
        <w:jc w:val="both"/>
        <w:rPr>
          <w:rFonts w:ascii="宋体" w:hAnsi="宋体"/>
          <w:sz w:val="24"/>
        </w:rPr>
      </w:pPr>
      <w:r>
        <w:rPr>
          <w:rFonts w:hint="eastAsia" w:ascii="宋体" w:hAnsi="宋体"/>
          <w:sz w:val="24"/>
        </w:rPr>
        <w:t>鉴于甲方接受了乙方城陵矶</w:t>
      </w:r>
      <w:r>
        <w:rPr>
          <w:rFonts w:hint="eastAsia" w:ascii="宋体" w:hAnsi="宋体"/>
          <w:sz w:val="24"/>
          <w:lang w:val="en-US" w:eastAsia="zh-CN"/>
        </w:rPr>
        <w:t>铁运公司连接员</w:t>
      </w:r>
      <w:r>
        <w:rPr>
          <w:rFonts w:hint="eastAsia" w:ascii="宋体" w:hAnsi="宋体"/>
          <w:sz w:val="24"/>
        </w:rPr>
        <w:t>劳务外包业务合同的投标书，为明确双方在合同期间的义务、责任、权力和利益，兹就以下事项达成协议：</w:t>
      </w:r>
    </w:p>
    <w:p>
      <w:pPr>
        <w:numPr>
          <w:ilvl w:val="0"/>
          <w:numId w:val="2"/>
        </w:numPr>
        <w:adjustRightInd w:val="0"/>
        <w:snapToGrid w:val="0"/>
        <w:spacing w:line="360" w:lineRule="auto"/>
        <w:ind w:firstLine="480" w:firstLineChars="200"/>
        <w:jc w:val="both"/>
        <w:rPr>
          <w:rFonts w:hint="eastAsia" w:ascii="宋体" w:hAnsi="宋体"/>
          <w:sz w:val="24"/>
        </w:rPr>
      </w:pPr>
      <w:r>
        <w:rPr>
          <w:rFonts w:hint="eastAsia" w:ascii="宋体" w:hAnsi="宋体"/>
          <w:sz w:val="24"/>
        </w:rPr>
        <w:t>业务名称、内容及承包条件</w:t>
      </w:r>
    </w:p>
    <w:p>
      <w:pPr>
        <w:pStyle w:val="2"/>
        <w:numPr>
          <w:ilvl w:val="0"/>
          <w:numId w:val="3"/>
        </w:num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采购项目概况：</w:t>
      </w:r>
    </w:p>
    <w:p>
      <w:pPr>
        <w:adjustRightInd w:val="0"/>
        <w:snapToGrid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城港铁运公司调车作业随着城陵矶地区铁路运量的增加，启动三调作业，机务和调车组连接员缺员严重，需补员4名连接员。连接员主要从事列车编组和车辆取送，作业范围在城陵矶地区各专用线、工业站及岳阳北站。连接员须保证调车作业安全，提高机车作业效率，压缩车辆停时，完成好调车作业任务。</w:t>
      </w:r>
    </w:p>
    <w:p>
      <w:pPr>
        <w:adjustRightInd w:val="0"/>
        <w:snapToGrid w:val="0"/>
        <w:spacing w:line="360" w:lineRule="auto"/>
        <w:ind w:firstLine="480" w:firstLineChars="200"/>
        <w:jc w:val="both"/>
        <w:rPr>
          <w:rFonts w:ascii="宋体" w:hAnsi="宋体"/>
          <w:sz w:val="24"/>
        </w:rPr>
      </w:pPr>
      <w:r>
        <w:rPr>
          <w:rFonts w:hint="eastAsia" w:ascii="宋体" w:hAnsi="宋体" w:eastAsia="宋体" w:cs="Times New Roman"/>
          <w:kern w:val="2"/>
          <w:sz w:val="24"/>
          <w:szCs w:val="24"/>
          <w:lang w:val="en-US" w:eastAsia="zh-CN" w:bidi="ar-SA"/>
        </w:rPr>
        <w:t>（二）业务名称为港口铁运公司铁路调车连接员劳务外包业务，乙方必须具</w:t>
      </w:r>
      <w:r>
        <w:rPr>
          <w:rFonts w:hint="eastAsia" w:ascii="宋体" w:hAnsi="宋体"/>
          <w:sz w:val="24"/>
          <w:highlight w:val="none"/>
        </w:rPr>
        <w:t>备</w:t>
      </w:r>
      <w:r>
        <w:rPr>
          <w:rFonts w:hint="eastAsia" w:ascii="宋体" w:hAnsi="宋体"/>
          <w:sz w:val="24"/>
          <w:highlight w:val="none"/>
          <w:lang w:val="en-US" w:eastAsia="zh-CN"/>
        </w:rPr>
        <w:t>4</w:t>
      </w:r>
      <w:r>
        <w:rPr>
          <w:rFonts w:hint="eastAsia" w:ascii="宋体" w:hAnsi="宋体"/>
          <w:sz w:val="24"/>
          <w:highlight w:val="none"/>
        </w:rPr>
        <w:t>人以上的</w:t>
      </w:r>
      <w:r>
        <w:rPr>
          <w:rFonts w:hint="eastAsia" w:ascii="宋体" w:hAnsi="宋体"/>
          <w:sz w:val="24"/>
          <w:highlight w:val="none"/>
          <w:lang w:val="en-US" w:eastAsia="zh-CN"/>
        </w:rPr>
        <w:t>铁路调车连接</w:t>
      </w:r>
      <w:r>
        <w:rPr>
          <w:rFonts w:hint="eastAsia" w:ascii="宋体" w:hAnsi="宋体"/>
          <w:sz w:val="24"/>
          <w:highlight w:val="none"/>
        </w:rPr>
        <w:t>作业人员，</w:t>
      </w:r>
      <w:r>
        <w:rPr>
          <w:rFonts w:hint="eastAsia" w:ascii="宋体" w:hAnsi="宋体"/>
          <w:sz w:val="24"/>
          <w:highlight w:val="none"/>
          <w:lang w:val="en-US" w:eastAsia="zh-CN"/>
        </w:rPr>
        <w:t>铁路调车连接</w:t>
      </w:r>
      <w:r>
        <w:rPr>
          <w:rFonts w:hint="eastAsia" w:ascii="宋体" w:hAnsi="宋体"/>
          <w:sz w:val="24"/>
          <w:highlight w:val="none"/>
        </w:rPr>
        <w:t>作业</w:t>
      </w:r>
      <w:r>
        <w:rPr>
          <w:rFonts w:hint="eastAsia" w:ascii="宋体" w:hAnsi="宋体"/>
          <w:sz w:val="24"/>
          <w:highlight w:val="none"/>
          <w:lang w:val="en-US" w:eastAsia="zh-CN"/>
        </w:rPr>
        <w:t>人员以退伍军人优先，年龄不得超过25岁，大专以上学历。</w:t>
      </w:r>
      <w:r>
        <w:rPr>
          <w:rFonts w:hint="eastAsia" w:ascii="宋体" w:hAnsi="宋体"/>
          <w:sz w:val="24"/>
          <w:highlight w:val="none"/>
        </w:rPr>
        <w:t>且不</w:t>
      </w:r>
      <w:r>
        <w:rPr>
          <w:rFonts w:hint="eastAsia" w:ascii="宋体" w:hAnsi="宋体"/>
          <w:sz w:val="24"/>
        </w:rPr>
        <w:t>得将业务转包给他方。</w:t>
      </w:r>
    </w:p>
    <w:p>
      <w:pPr>
        <w:adjustRightInd w:val="0"/>
        <w:snapToGrid w:val="0"/>
        <w:spacing w:line="360" w:lineRule="auto"/>
        <w:ind w:firstLine="480" w:firstLineChars="200"/>
        <w:jc w:val="both"/>
        <w:rPr>
          <w:rFonts w:ascii="宋体" w:hAnsi="宋体"/>
          <w:sz w:val="24"/>
        </w:rPr>
      </w:pPr>
      <w:r>
        <w:rPr>
          <w:rFonts w:hint="eastAsia" w:ascii="宋体" w:hAnsi="宋体"/>
          <w:sz w:val="24"/>
        </w:rPr>
        <w:t>（</w:t>
      </w:r>
      <w:r>
        <w:rPr>
          <w:rFonts w:hint="eastAsia" w:ascii="宋体" w:hAnsi="宋体"/>
          <w:sz w:val="24"/>
          <w:lang w:eastAsia="zh-CN"/>
        </w:rPr>
        <w:t>三</w:t>
      </w:r>
      <w:r>
        <w:rPr>
          <w:rFonts w:hint="eastAsia" w:ascii="宋体" w:hAnsi="宋体"/>
          <w:sz w:val="24"/>
        </w:rPr>
        <w:t>） 业务含3%税单价不得调整，个别业务因特殊原因无法运作时，乙方向甲方提起书面申请，甲方在一个月内给予回复，但乙方不得因此影响甲方生产作业。</w:t>
      </w:r>
    </w:p>
    <w:p>
      <w:pPr>
        <w:adjustRightInd w:val="0"/>
        <w:snapToGrid w:val="0"/>
        <w:spacing w:line="360" w:lineRule="auto"/>
        <w:ind w:firstLine="480" w:firstLineChars="200"/>
        <w:jc w:val="both"/>
        <w:rPr>
          <w:rFonts w:ascii="宋体" w:hAnsi="宋体"/>
          <w:sz w:val="24"/>
        </w:rPr>
      </w:pPr>
      <w:r>
        <w:rPr>
          <w:rFonts w:hint="eastAsia" w:ascii="宋体" w:hAnsi="宋体"/>
          <w:sz w:val="24"/>
        </w:rPr>
        <w:t>（</w:t>
      </w:r>
      <w:r>
        <w:rPr>
          <w:rFonts w:hint="eastAsia" w:ascii="宋体" w:hAnsi="宋体"/>
          <w:sz w:val="24"/>
          <w:lang w:eastAsia="zh-CN"/>
        </w:rPr>
        <w:t>四</w:t>
      </w:r>
      <w:r>
        <w:rPr>
          <w:rFonts w:hint="eastAsia" w:ascii="宋体" w:hAnsi="宋体"/>
          <w:sz w:val="24"/>
        </w:rPr>
        <w:t>） 为保证本合同得到充分履行，乙方需向甲方交履约保证金    万元，合同充分履行后退还（不计息），如有违约，不予退还。</w:t>
      </w:r>
    </w:p>
    <w:p>
      <w:pPr>
        <w:adjustRightInd w:val="0"/>
        <w:snapToGrid w:val="0"/>
        <w:spacing w:line="360" w:lineRule="auto"/>
        <w:ind w:firstLine="480" w:firstLineChars="200"/>
        <w:jc w:val="both"/>
        <w:rPr>
          <w:rFonts w:ascii="宋体" w:hAnsi="宋体"/>
          <w:sz w:val="24"/>
        </w:rPr>
      </w:pPr>
      <w:r>
        <w:rPr>
          <w:rFonts w:hint="eastAsia" w:ascii="宋体" w:hAnsi="宋体"/>
          <w:sz w:val="24"/>
        </w:rPr>
        <w:t>（</w:t>
      </w:r>
      <w:r>
        <w:rPr>
          <w:rFonts w:hint="eastAsia" w:ascii="宋体" w:hAnsi="宋体"/>
          <w:sz w:val="24"/>
          <w:lang w:eastAsia="zh-CN"/>
        </w:rPr>
        <w:t>五</w:t>
      </w:r>
      <w:r>
        <w:rPr>
          <w:rFonts w:hint="eastAsia" w:ascii="宋体" w:hAnsi="宋体"/>
          <w:sz w:val="24"/>
        </w:rPr>
        <w:t>）合同期内若遇国家重大政策调整，甲乙双方可另行协商约定合同内容。</w:t>
      </w:r>
    </w:p>
    <w:p>
      <w:pPr>
        <w:adjustRightInd w:val="0"/>
        <w:snapToGrid w:val="0"/>
        <w:spacing w:line="360" w:lineRule="auto"/>
        <w:ind w:firstLine="480" w:firstLineChars="200"/>
        <w:jc w:val="both"/>
        <w:rPr>
          <w:rFonts w:ascii="宋体" w:hAnsi="宋体"/>
          <w:sz w:val="24"/>
        </w:rPr>
      </w:pPr>
      <w:r>
        <w:rPr>
          <w:rFonts w:hint="eastAsia" w:ascii="宋体" w:hAnsi="宋体"/>
          <w:sz w:val="24"/>
        </w:rPr>
        <w:t>二、业务承包期限</w:t>
      </w:r>
    </w:p>
    <w:p>
      <w:pPr>
        <w:adjustRightInd w:val="0"/>
        <w:snapToGrid w:val="0"/>
        <w:spacing w:line="360" w:lineRule="auto"/>
        <w:ind w:firstLine="480" w:firstLineChars="200"/>
        <w:jc w:val="both"/>
        <w:rPr>
          <w:rFonts w:ascii="宋体" w:hAnsi="宋体"/>
          <w:sz w:val="24"/>
        </w:rPr>
      </w:pPr>
      <w:r>
        <w:rPr>
          <w:rFonts w:hint="eastAsia" w:ascii="宋体" w:hAnsi="宋体"/>
          <w:sz w:val="24"/>
        </w:rPr>
        <w:t>乙方承包甲方的港口</w:t>
      </w:r>
      <w:r>
        <w:rPr>
          <w:rFonts w:hint="eastAsia" w:ascii="宋体" w:hAnsi="宋体"/>
          <w:sz w:val="24"/>
          <w:lang w:val="en-US" w:eastAsia="zh-CN"/>
        </w:rPr>
        <w:t>调车</w:t>
      </w:r>
      <w:r>
        <w:rPr>
          <w:rFonts w:hint="eastAsia" w:ascii="宋体" w:hAnsi="宋体"/>
          <w:sz w:val="24"/>
        </w:rPr>
        <w:t>辅助劳务业务的期限为：</w:t>
      </w:r>
      <w:r>
        <w:rPr>
          <w:rFonts w:hint="eastAsia" w:ascii="宋体" w:hAnsi="宋体"/>
          <w:sz w:val="24"/>
          <w:highlight w:val="none"/>
        </w:rPr>
        <w:t>从202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日始至</w:t>
      </w:r>
      <w:r>
        <w:rPr>
          <w:rFonts w:hint="eastAsia" w:ascii="宋体" w:hAnsi="宋体"/>
          <w:sz w:val="24"/>
        </w:rPr>
        <w:t>2023年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日止</w:t>
      </w:r>
      <w:r>
        <w:rPr>
          <w:rFonts w:hint="eastAsia" w:ascii="宋体" w:hAnsi="宋体"/>
          <w:sz w:val="24"/>
          <w:lang w:eastAsia="zh-CN"/>
        </w:rPr>
        <w:t>，</w:t>
      </w:r>
      <w:r>
        <w:rPr>
          <w:rFonts w:hint="eastAsia" w:ascii="宋体" w:hAnsi="宋体"/>
          <w:sz w:val="24"/>
          <w:lang w:val="en-US" w:eastAsia="zh-CN"/>
        </w:rPr>
        <w:t>期限一年</w:t>
      </w:r>
      <w:r>
        <w:rPr>
          <w:rFonts w:hint="eastAsia" w:ascii="宋体" w:hAnsi="宋体"/>
          <w:sz w:val="24"/>
        </w:rPr>
        <w:t>。</w:t>
      </w:r>
    </w:p>
    <w:p>
      <w:pPr>
        <w:numPr>
          <w:ilvl w:val="0"/>
          <w:numId w:val="4"/>
        </w:numPr>
        <w:adjustRightInd w:val="0"/>
        <w:snapToGrid w:val="0"/>
        <w:spacing w:line="360" w:lineRule="auto"/>
        <w:ind w:firstLine="480" w:firstLineChars="200"/>
        <w:jc w:val="both"/>
        <w:rPr>
          <w:rFonts w:hint="eastAsia" w:ascii="宋体" w:hAnsi="宋体"/>
          <w:sz w:val="24"/>
        </w:rPr>
      </w:pPr>
      <w:r>
        <w:rPr>
          <w:rFonts w:hint="eastAsia" w:ascii="宋体" w:hAnsi="宋体"/>
          <w:sz w:val="24"/>
        </w:rPr>
        <w:t>工作量确定、质量验收标准、方法</w:t>
      </w:r>
    </w:p>
    <w:p>
      <w:pPr>
        <w:numPr>
          <w:ilvl w:val="0"/>
          <w:numId w:val="0"/>
        </w:numPr>
        <w:adjustRightInd w:val="0"/>
        <w:snapToGrid w:val="0"/>
        <w:spacing w:line="360" w:lineRule="auto"/>
        <w:ind w:firstLine="480" w:firstLineChars="200"/>
        <w:jc w:val="both"/>
        <w:rPr>
          <w:rFonts w:ascii="宋体" w:hAnsi="宋体"/>
          <w:sz w:val="24"/>
        </w:rPr>
      </w:pPr>
      <w:r>
        <w:rPr>
          <w:rFonts w:hint="eastAsia" w:ascii="宋体" w:hAnsi="宋体"/>
          <w:sz w:val="24"/>
        </w:rPr>
        <w:t>以甲方的</w:t>
      </w:r>
      <w:r>
        <w:rPr>
          <w:rFonts w:hint="eastAsia" w:ascii="宋体" w:hAnsi="宋体"/>
          <w:sz w:val="24"/>
          <w:lang w:val="en-US" w:eastAsia="zh-CN"/>
        </w:rPr>
        <w:t>考勤</w:t>
      </w:r>
      <w:r>
        <w:rPr>
          <w:rFonts w:hint="eastAsia" w:ascii="宋体" w:hAnsi="宋体"/>
          <w:sz w:val="24"/>
        </w:rPr>
        <w:t>数据、计工单数据、力资检量数据来确定乙方实际完成工作量；乙方必须在甲方现场管理人员统一安排下按要求及时完成任务。</w:t>
      </w:r>
    </w:p>
    <w:p>
      <w:pPr>
        <w:adjustRightInd w:val="0"/>
        <w:snapToGrid w:val="0"/>
        <w:spacing w:line="360" w:lineRule="auto"/>
        <w:ind w:firstLine="480" w:firstLineChars="200"/>
        <w:jc w:val="both"/>
        <w:rPr>
          <w:rFonts w:ascii="宋体" w:hAnsi="宋体"/>
          <w:sz w:val="24"/>
        </w:rPr>
      </w:pPr>
      <w:r>
        <w:rPr>
          <w:rFonts w:hint="eastAsia" w:ascii="宋体" w:hAnsi="宋体"/>
          <w:sz w:val="24"/>
        </w:rPr>
        <w:t>四、结算标准、结算方式及期限</w:t>
      </w:r>
    </w:p>
    <w:p>
      <w:pPr>
        <w:adjustRightInd w:val="0"/>
        <w:snapToGrid w:val="0"/>
        <w:spacing w:line="360" w:lineRule="auto"/>
        <w:ind w:firstLine="480" w:firstLineChars="200"/>
        <w:jc w:val="both"/>
        <w:rPr>
          <w:rFonts w:ascii="宋体" w:hAnsi="宋体"/>
          <w:sz w:val="24"/>
        </w:rPr>
      </w:pPr>
      <w:r>
        <w:rPr>
          <w:rFonts w:hint="eastAsia" w:ascii="宋体" w:hAnsi="宋体"/>
          <w:sz w:val="24"/>
        </w:rPr>
        <w:t>结算标准</w:t>
      </w:r>
      <w:r>
        <w:rPr>
          <w:rFonts w:hint="eastAsia" w:ascii="宋体" w:hAnsi="宋体"/>
          <w:sz w:val="24"/>
          <w:lang w:val="en-US" w:eastAsia="zh-CN"/>
        </w:rPr>
        <w:t>为8100元/月.人计</w:t>
      </w:r>
      <w:r>
        <w:rPr>
          <w:rFonts w:hint="eastAsia" w:ascii="宋体" w:hAnsi="宋体"/>
          <w:sz w:val="24"/>
        </w:rPr>
        <w:t>，</w:t>
      </w:r>
      <w:r>
        <w:rPr>
          <w:rFonts w:hint="eastAsia" w:ascii="宋体" w:hAnsi="宋体"/>
          <w:sz w:val="24"/>
          <w:lang w:val="en-US" w:eastAsia="zh-CN"/>
        </w:rPr>
        <w:t>8100元/月.人*4人=32400元/月。</w:t>
      </w:r>
      <w:r>
        <w:rPr>
          <w:rFonts w:hint="eastAsia" w:ascii="宋体" w:hAnsi="宋体"/>
          <w:sz w:val="24"/>
        </w:rPr>
        <w:t>结算单价包含了劳务公司管理人员工资、人员工资、伙食补贴含零点班加餐费、社保、税金、工伤保险费、劳保用品费、人员工伤赔付（安全风险)、部分作业工属具添置费、一年三节加班费、水电费及合同中所包含的所有成本费用。甲方每月20日前向乙方支付上月业务承包费用，结算流程如下：甲方每月16日前将所开具的业务票据核对、计算、统计、汇总后，形成结算总表，交付乙方——乙方每月20日前根据甲方提供数据向甲方开出发票——甲方付款。</w:t>
      </w:r>
    </w:p>
    <w:p>
      <w:pPr>
        <w:adjustRightInd w:val="0"/>
        <w:snapToGrid w:val="0"/>
        <w:spacing w:line="360" w:lineRule="auto"/>
        <w:ind w:firstLine="480" w:firstLineChars="200"/>
        <w:jc w:val="both"/>
        <w:rPr>
          <w:rFonts w:ascii="宋体" w:hAnsi="宋体"/>
          <w:sz w:val="24"/>
        </w:rPr>
      </w:pPr>
      <w:r>
        <w:rPr>
          <w:rFonts w:hint="eastAsia" w:ascii="宋体" w:hAnsi="宋体"/>
          <w:sz w:val="24"/>
        </w:rPr>
        <w:t>五、付款方式及期限</w:t>
      </w:r>
    </w:p>
    <w:p>
      <w:pPr>
        <w:adjustRightInd w:val="0"/>
        <w:snapToGrid w:val="0"/>
        <w:spacing w:line="360" w:lineRule="auto"/>
        <w:ind w:firstLine="480" w:firstLineChars="200"/>
        <w:jc w:val="both"/>
        <w:rPr>
          <w:rFonts w:ascii="宋体" w:hAnsi="宋体"/>
          <w:sz w:val="24"/>
        </w:rPr>
      </w:pPr>
      <w:r>
        <w:rPr>
          <w:rFonts w:hint="eastAsia" w:ascii="宋体" w:hAnsi="宋体"/>
          <w:sz w:val="24"/>
        </w:rPr>
        <w:t xml:space="preserve">（一）甲方采取以下第②种方式支付乙方承包费用： </w:t>
      </w:r>
    </w:p>
    <w:p>
      <w:pPr>
        <w:adjustRightInd w:val="0"/>
        <w:snapToGrid w:val="0"/>
        <w:spacing w:line="360" w:lineRule="auto"/>
        <w:ind w:firstLine="480" w:firstLineChars="200"/>
        <w:jc w:val="both"/>
        <w:rPr>
          <w:rFonts w:ascii="宋体" w:hAnsi="宋体"/>
          <w:sz w:val="24"/>
        </w:rPr>
      </w:pPr>
      <w:r>
        <w:rPr>
          <w:rFonts w:hint="eastAsia" w:ascii="宋体" w:hAnsi="宋体"/>
          <w:sz w:val="24"/>
        </w:rPr>
        <w:t>①现金支付；</w:t>
      </w:r>
    </w:p>
    <w:p>
      <w:pPr>
        <w:adjustRightInd w:val="0"/>
        <w:snapToGrid w:val="0"/>
        <w:spacing w:line="360" w:lineRule="auto"/>
        <w:ind w:firstLine="480" w:firstLineChars="200"/>
        <w:jc w:val="both"/>
        <w:rPr>
          <w:rFonts w:ascii="宋体" w:hAnsi="宋体"/>
          <w:sz w:val="24"/>
        </w:rPr>
      </w:pPr>
      <w:r>
        <w:rPr>
          <w:rFonts w:hint="eastAsia" w:ascii="宋体" w:hAnsi="宋体"/>
          <w:sz w:val="24"/>
        </w:rPr>
        <w:t>②转账支付，乙方指定账号：</w:t>
      </w:r>
      <w:r>
        <w:rPr>
          <w:rFonts w:hint="eastAsia" w:ascii="宋体" w:hAnsi="宋体"/>
          <w:sz w:val="24"/>
          <w:u w:val="single"/>
          <w:lang w:val="en-US" w:eastAsia="zh-CN"/>
        </w:rPr>
        <w:t xml:space="preserve">          </w:t>
      </w:r>
      <w:r>
        <w:rPr>
          <w:rFonts w:hint="eastAsia" w:ascii="宋体" w:hAnsi="宋体"/>
          <w:sz w:val="24"/>
        </w:rPr>
        <w:t>，指定账户名</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，指定账户开户行</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w:t>
      </w:r>
    </w:p>
    <w:p>
      <w:pPr>
        <w:adjustRightInd w:val="0"/>
        <w:snapToGrid w:val="0"/>
        <w:spacing w:line="360" w:lineRule="auto"/>
        <w:ind w:firstLine="480" w:firstLineChars="200"/>
        <w:jc w:val="both"/>
        <w:rPr>
          <w:rFonts w:ascii="宋体" w:hAnsi="宋体"/>
          <w:sz w:val="24"/>
        </w:rPr>
      </w:pPr>
      <w:r>
        <w:rPr>
          <w:rFonts w:hint="eastAsia" w:ascii="宋体" w:hAnsi="宋体"/>
          <w:sz w:val="24"/>
        </w:rPr>
        <w:t>③其他方式：＿＿＿＿＿＿＿＿＿＿＿＿＿＿＿＿＿＿＿＿。</w:t>
      </w:r>
    </w:p>
    <w:p>
      <w:pPr>
        <w:adjustRightInd w:val="0"/>
        <w:snapToGrid w:val="0"/>
        <w:spacing w:line="360" w:lineRule="auto"/>
        <w:ind w:firstLine="480" w:firstLineChars="200"/>
        <w:jc w:val="both"/>
        <w:rPr>
          <w:rFonts w:ascii="宋体" w:hAnsi="宋体"/>
          <w:sz w:val="24"/>
        </w:rPr>
      </w:pPr>
      <w:r>
        <w:rPr>
          <w:rFonts w:hint="eastAsia" w:ascii="宋体" w:hAnsi="宋体"/>
          <w:sz w:val="24"/>
        </w:rPr>
        <w:t>（二）乙方应提供付款所需的完整的凭证以及足额的发票方可要求甲方付款。</w:t>
      </w:r>
    </w:p>
    <w:p>
      <w:pPr>
        <w:adjustRightInd w:val="0"/>
        <w:snapToGrid w:val="0"/>
        <w:spacing w:line="360" w:lineRule="auto"/>
        <w:ind w:firstLine="480" w:firstLineChars="200"/>
        <w:jc w:val="both"/>
        <w:rPr>
          <w:rFonts w:ascii="宋体" w:hAnsi="宋体"/>
          <w:sz w:val="24"/>
        </w:rPr>
      </w:pPr>
      <w:r>
        <w:rPr>
          <w:rFonts w:hint="eastAsia" w:ascii="宋体" w:hAnsi="宋体"/>
          <w:sz w:val="24"/>
        </w:rPr>
        <w:t>（三）甲方未能按时向乙方提供结算总表时，甲方在书面通知乙方后可以相应顺延，但最长不超过五个工作日。</w:t>
      </w:r>
    </w:p>
    <w:p>
      <w:pPr>
        <w:adjustRightInd w:val="0"/>
        <w:snapToGrid w:val="0"/>
        <w:spacing w:line="360" w:lineRule="auto"/>
        <w:ind w:firstLine="480" w:firstLineChars="200"/>
        <w:jc w:val="both"/>
        <w:rPr>
          <w:rFonts w:ascii="宋体" w:hAnsi="宋体"/>
          <w:sz w:val="24"/>
        </w:rPr>
      </w:pPr>
      <w:r>
        <w:rPr>
          <w:rFonts w:hint="eastAsia" w:ascii="宋体" w:hAnsi="宋体"/>
          <w:sz w:val="24"/>
        </w:rPr>
        <w:t>（四）乙方未能提供付款所需的完整的凭证以及足额的发票时，甲方可相应顺延承包费的支付期限，直至乙方提供完整的凭证及足额的发票时为止。</w:t>
      </w:r>
    </w:p>
    <w:p>
      <w:pPr>
        <w:adjustRightInd w:val="0"/>
        <w:snapToGrid w:val="0"/>
        <w:spacing w:line="360" w:lineRule="auto"/>
        <w:ind w:firstLine="480" w:firstLineChars="200"/>
        <w:jc w:val="both"/>
        <w:rPr>
          <w:rFonts w:ascii="宋体" w:hAnsi="宋体"/>
          <w:sz w:val="24"/>
        </w:rPr>
      </w:pPr>
      <w:r>
        <w:rPr>
          <w:rFonts w:hint="eastAsia" w:ascii="宋体" w:hAnsi="宋体"/>
          <w:sz w:val="24"/>
        </w:rPr>
        <w:t>（五）因甲方资金调度、工作时间、银行手续办理等因素的影响，甲方未能在约定期限内支付承包费的，甲方有权在书面通知乙方后，付款期限予以相应顺延，但最长不超过五个工作日。</w:t>
      </w:r>
    </w:p>
    <w:p>
      <w:pPr>
        <w:adjustRightInd w:val="0"/>
        <w:snapToGrid w:val="0"/>
        <w:spacing w:line="360" w:lineRule="auto"/>
        <w:ind w:firstLine="480" w:firstLineChars="200"/>
        <w:jc w:val="both"/>
        <w:rPr>
          <w:rFonts w:ascii="宋体" w:hAnsi="宋体"/>
          <w:sz w:val="24"/>
        </w:rPr>
      </w:pPr>
      <w:r>
        <w:rPr>
          <w:rFonts w:hint="eastAsia" w:ascii="宋体" w:hAnsi="宋体"/>
          <w:sz w:val="24"/>
        </w:rPr>
        <w:t>（六）双方权利义务</w:t>
      </w:r>
    </w:p>
    <w:p>
      <w:pPr>
        <w:adjustRightInd w:val="0"/>
        <w:snapToGrid w:val="0"/>
        <w:spacing w:line="360" w:lineRule="auto"/>
        <w:ind w:firstLine="480" w:firstLineChars="200"/>
        <w:jc w:val="both"/>
        <w:rPr>
          <w:rFonts w:ascii="宋体" w:hAnsi="宋体"/>
          <w:sz w:val="24"/>
        </w:rPr>
      </w:pPr>
      <w:r>
        <w:rPr>
          <w:rFonts w:hint="eastAsia" w:ascii="宋体" w:hAnsi="宋体"/>
          <w:sz w:val="24"/>
        </w:rPr>
        <w:t>1. 甲方权利义务</w:t>
      </w:r>
    </w:p>
    <w:p>
      <w:pPr>
        <w:adjustRightInd w:val="0"/>
        <w:snapToGrid w:val="0"/>
        <w:spacing w:line="360" w:lineRule="auto"/>
        <w:ind w:firstLine="480" w:firstLineChars="200"/>
        <w:jc w:val="both"/>
        <w:rPr>
          <w:rFonts w:ascii="宋体" w:hAnsi="宋体"/>
          <w:sz w:val="24"/>
        </w:rPr>
      </w:pPr>
      <w:r>
        <w:rPr>
          <w:rFonts w:hint="eastAsia" w:ascii="宋体" w:hAnsi="宋体"/>
          <w:sz w:val="24"/>
        </w:rPr>
        <w:t>（1）甲方负责向乙方提供符合安全生产规范的作业现场和条件。</w:t>
      </w:r>
    </w:p>
    <w:p>
      <w:pPr>
        <w:adjustRightInd w:val="0"/>
        <w:snapToGrid w:val="0"/>
        <w:spacing w:line="360" w:lineRule="auto"/>
        <w:ind w:firstLine="480" w:firstLineChars="200"/>
        <w:jc w:val="both"/>
        <w:rPr>
          <w:rFonts w:ascii="宋体" w:hAnsi="宋体"/>
          <w:sz w:val="24"/>
        </w:rPr>
      </w:pPr>
      <w:r>
        <w:rPr>
          <w:rFonts w:hint="eastAsia" w:ascii="宋体" w:hAnsi="宋体"/>
          <w:sz w:val="24"/>
        </w:rPr>
        <w:t>（2）甲方有权要求乙方按“</w:t>
      </w:r>
      <w:r>
        <w:rPr>
          <w:rFonts w:hint="eastAsia" w:ascii="宋体" w:hAnsi="宋体"/>
          <w:sz w:val="24"/>
          <w:lang w:val="en-US" w:eastAsia="zh-CN"/>
        </w:rPr>
        <w:t>铁运公司安全管理制度</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附后</w:t>
      </w:r>
      <w:r>
        <w:rPr>
          <w:rFonts w:hint="eastAsia" w:ascii="宋体" w:hAnsi="宋体"/>
          <w:sz w:val="24"/>
          <w:lang w:eastAsia="zh-CN"/>
        </w:rPr>
        <w:t>）</w:t>
      </w:r>
      <w:r>
        <w:rPr>
          <w:rFonts w:hint="eastAsia" w:ascii="宋体" w:hAnsi="宋体"/>
          <w:sz w:val="24"/>
        </w:rPr>
        <w:t>按期按质按量的完成所发包的业务，如未达到要求，可给予乙方50元以上1000元以下的违约处罚。</w:t>
      </w:r>
    </w:p>
    <w:p>
      <w:pPr>
        <w:adjustRightInd w:val="0"/>
        <w:snapToGrid w:val="0"/>
        <w:spacing w:line="360" w:lineRule="auto"/>
        <w:ind w:firstLine="480" w:firstLineChars="200"/>
        <w:jc w:val="both"/>
        <w:rPr>
          <w:rFonts w:ascii="宋体" w:hAnsi="宋体"/>
          <w:sz w:val="24"/>
        </w:rPr>
      </w:pPr>
      <w:r>
        <w:rPr>
          <w:rFonts w:hint="eastAsia" w:ascii="宋体" w:hAnsi="宋体"/>
          <w:sz w:val="24"/>
        </w:rPr>
        <w:t>（3）因生产需要或其他原因，有权要求乙方临时改变开展所承包的业务的时间、地点、业务量等因素并按甲方的要求完成所承包的业务。</w:t>
      </w:r>
    </w:p>
    <w:p>
      <w:pPr>
        <w:adjustRightInd w:val="0"/>
        <w:snapToGrid w:val="0"/>
        <w:spacing w:line="360" w:lineRule="auto"/>
        <w:ind w:firstLine="480" w:firstLineChars="200"/>
        <w:jc w:val="both"/>
        <w:rPr>
          <w:rFonts w:ascii="宋体" w:hAnsi="宋体"/>
          <w:sz w:val="24"/>
        </w:rPr>
      </w:pPr>
      <w:r>
        <w:rPr>
          <w:rFonts w:hint="eastAsia" w:ascii="宋体" w:hAnsi="宋体"/>
          <w:sz w:val="24"/>
        </w:rPr>
        <w:t>（4）因生产需要或其他原因，有权安排乙方承担本合同约定以外的临时工作，并按相应标准向乙方付款。</w:t>
      </w:r>
    </w:p>
    <w:p>
      <w:pPr>
        <w:adjustRightInd w:val="0"/>
        <w:snapToGrid w:val="0"/>
        <w:spacing w:line="360" w:lineRule="auto"/>
        <w:ind w:firstLine="480" w:firstLineChars="200"/>
        <w:jc w:val="both"/>
        <w:rPr>
          <w:rFonts w:ascii="宋体" w:hAnsi="宋体"/>
          <w:sz w:val="24"/>
        </w:rPr>
      </w:pPr>
      <w:r>
        <w:rPr>
          <w:rFonts w:hint="eastAsia" w:ascii="宋体" w:hAnsi="宋体"/>
          <w:sz w:val="24"/>
        </w:rPr>
        <w:t>（5）甲方有权制止乙方员工的违章行为，对因乙方责任造成的工具、设备、设施、货物的损坏和丢失有索赔权；对于乙方进行所承包业务作业的员工，甲方有权要求乙方进行更换。</w:t>
      </w:r>
    </w:p>
    <w:p>
      <w:pPr>
        <w:adjustRightInd w:val="0"/>
        <w:snapToGrid w:val="0"/>
        <w:spacing w:line="360" w:lineRule="auto"/>
        <w:ind w:firstLine="480" w:firstLineChars="200"/>
        <w:jc w:val="both"/>
        <w:rPr>
          <w:rFonts w:ascii="宋体" w:hAnsi="宋体"/>
          <w:sz w:val="24"/>
        </w:rPr>
      </w:pPr>
      <w:r>
        <w:rPr>
          <w:rFonts w:hint="eastAsia" w:ascii="宋体" w:hAnsi="宋体"/>
          <w:sz w:val="24"/>
        </w:rPr>
        <w:t>（6）甲方职能部门有权对乙方的安全教育、业务培训、安全布置等方面进行情况检查和监督，对不符合甲方或国家要求的，可要求乙方整改。</w:t>
      </w:r>
    </w:p>
    <w:p>
      <w:pPr>
        <w:adjustRightInd w:val="0"/>
        <w:snapToGrid w:val="0"/>
        <w:spacing w:line="360" w:lineRule="auto"/>
        <w:ind w:firstLine="480" w:firstLineChars="200"/>
        <w:jc w:val="both"/>
        <w:rPr>
          <w:rFonts w:hint="eastAsia" w:ascii="宋体" w:hAnsi="宋体" w:eastAsia="宋体"/>
          <w:sz w:val="24"/>
          <w:lang w:eastAsia="zh-CN"/>
        </w:rPr>
      </w:pPr>
      <w:r>
        <w:rPr>
          <w:rFonts w:hint="eastAsia" w:ascii="宋体" w:hAnsi="宋体"/>
          <w:sz w:val="24"/>
        </w:rPr>
        <w:t>（7）甲方有权对乙方人员的工作完成情况或乙方应尽义务进行验收或考核。出现不符合甲方要求和本合同约定的，</w:t>
      </w:r>
      <w:r>
        <w:rPr>
          <w:rFonts w:hint="eastAsia" w:ascii="宋体" w:hAnsi="宋体"/>
          <w:sz w:val="24"/>
          <w:lang w:eastAsia="zh-CN"/>
        </w:rPr>
        <w:t>或有违章违纪等</w:t>
      </w:r>
      <w:r>
        <w:rPr>
          <w:rFonts w:hint="eastAsia" w:ascii="宋体" w:hAnsi="宋体"/>
          <w:sz w:val="24"/>
        </w:rPr>
        <w:t>可以从相应票据上扣除承包费用作为赔偿，或直接给予乙方50元以上1000元以下的违约处罚</w:t>
      </w:r>
      <w:r>
        <w:rPr>
          <w:rFonts w:hint="eastAsia" w:ascii="宋体" w:hAnsi="宋体"/>
          <w:sz w:val="24"/>
          <w:lang w:eastAsia="zh-CN"/>
        </w:rPr>
        <w:t>；如发生责任事故，将依据城港公司事故管理办法进行考核。</w:t>
      </w:r>
    </w:p>
    <w:p>
      <w:pPr>
        <w:adjustRightInd w:val="0"/>
        <w:snapToGrid w:val="0"/>
        <w:spacing w:line="360" w:lineRule="auto"/>
        <w:ind w:firstLine="480" w:firstLineChars="200"/>
        <w:jc w:val="both"/>
        <w:rPr>
          <w:rFonts w:ascii="宋体" w:hAnsi="宋体"/>
          <w:sz w:val="24"/>
        </w:rPr>
      </w:pPr>
      <w:r>
        <w:rPr>
          <w:rFonts w:hint="eastAsia" w:ascii="宋体" w:hAnsi="宋体"/>
          <w:sz w:val="24"/>
        </w:rPr>
        <w:t>（8）因乙方原因，影响甲方生产，造成损失的，甲方有权要求乙方赔偿相应损失及调整乙方业务范围。</w:t>
      </w:r>
    </w:p>
    <w:p>
      <w:pPr>
        <w:adjustRightInd w:val="0"/>
        <w:snapToGrid w:val="0"/>
        <w:spacing w:line="360" w:lineRule="auto"/>
        <w:ind w:firstLine="480" w:firstLineChars="200"/>
        <w:jc w:val="both"/>
        <w:rPr>
          <w:rFonts w:ascii="宋体" w:hAnsi="宋体"/>
          <w:sz w:val="24"/>
        </w:rPr>
      </w:pPr>
      <w:r>
        <w:rPr>
          <w:rFonts w:hint="eastAsia" w:ascii="宋体" w:hAnsi="宋体"/>
          <w:sz w:val="24"/>
        </w:rPr>
        <w:t>（9）在乙方提供了完整的结算付款所需的凭证、发票等资料，并符合了结算付款要求后，按约付款。</w:t>
      </w:r>
    </w:p>
    <w:p>
      <w:pPr>
        <w:adjustRightInd w:val="0"/>
        <w:snapToGrid w:val="0"/>
        <w:spacing w:line="360" w:lineRule="auto"/>
        <w:ind w:firstLine="480" w:firstLineChars="200"/>
        <w:jc w:val="both"/>
        <w:rPr>
          <w:rFonts w:ascii="宋体" w:hAnsi="宋体"/>
          <w:sz w:val="24"/>
        </w:rPr>
      </w:pPr>
      <w:r>
        <w:rPr>
          <w:rFonts w:hint="eastAsia" w:ascii="宋体" w:hAnsi="宋体"/>
          <w:sz w:val="24"/>
        </w:rPr>
        <w:t>（10）乙方作业人员劳动保护用品不符合安全生产要求，甲方有权要求乙方整改。在整改期限后，还未达到要求的，甲方可向乙方作业人员直接提供相应的劳动保护用品，其费用从承包费用中扣除。</w:t>
      </w:r>
    </w:p>
    <w:p>
      <w:pPr>
        <w:adjustRightInd w:val="0"/>
        <w:snapToGrid w:val="0"/>
        <w:spacing w:line="360" w:lineRule="auto"/>
        <w:ind w:firstLine="480" w:firstLineChars="200"/>
        <w:jc w:val="both"/>
        <w:rPr>
          <w:rFonts w:ascii="宋体" w:hAnsi="宋体"/>
          <w:sz w:val="24"/>
        </w:rPr>
      </w:pPr>
      <w:r>
        <w:rPr>
          <w:rFonts w:hint="eastAsia" w:ascii="宋体" w:hAnsi="宋体"/>
          <w:sz w:val="24"/>
        </w:rPr>
        <w:t>（11）因甲方违章指挥、违章作业造成乙方人员伤亡和财产损失的，甲方应承担相应责任。</w:t>
      </w:r>
    </w:p>
    <w:p>
      <w:pPr>
        <w:adjustRightInd w:val="0"/>
        <w:snapToGrid w:val="0"/>
        <w:spacing w:line="360" w:lineRule="auto"/>
        <w:ind w:firstLine="480" w:firstLineChars="200"/>
        <w:jc w:val="both"/>
        <w:rPr>
          <w:rFonts w:ascii="宋体" w:hAnsi="宋体"/>
          <w:sz w:val="24"/>
        </w:rPr>
      </w:pPr>
      <w:r>
        <w:rPr>
          <w:rFonts w:hint="eastAsia" w:ascii="宋体" w:hAnsi="宋体"/>
          <w:sz w:val="24"/>
        </w:rPr>
        <w:t>（12）甲方</w:t>
      </w:r>
      <w:r>
        <w:rPr>
          <w:rFonts w:hint="eastAsia" w:ascii="宋体" w:hAnsi="宋体"/>
          <w:sz w:val="24"/>
          <w:lang w:val="en-US" w:eastAsia="zh-CN"/>
        </w:rPr>
        <w:t>城港铁运公司</w:t>
      </w:r>
      <w:r>
        <w:rPr>
          <w:rFonts w:hint="eastAsia" w:ascii="宋体" w:hAnsi="宋体"/>
          <w:sz w:val="24"/>
        </w:rPr>
        <w:t>作为与乙方的对口单位，具体的生产任务的安排由</w:t>
      </w:r>
      <w:r>
        <w:rPr>
          <w:rFonts w:hint="eastAsia" w:ascii="宋体" w:hAnsi="宋体"/>
          <w:sz w:val="24"/>
          <w:lang w:val="en-US" w:eastAsia="zh-CN"/>
        </w:rPr>
        <w:t>甲方铁运</w:t>
      </w:r>
      <w:r>
        <w:rPr>
          <w:rFonts w:hint="eastAsia" w:ascii="宋体" w:hAnsi="宋体"/>
          <w:sz w:val="24"/>
        </w:rPr>
        <w:t>公司负责。如乙方不服，可向甲方职能部门申诉反映，甲方将调查了解或纠正。</w:t>
      </w:r>
    </w:p>
    <w:p>
      <w:pPr>
        <w:adjustRightInd w:val="0"/>
        <w:snapToGrid w:val="0"/>
        <w:spacing w:line="360" w:lineRule="auto"/>
        <w:ind w:firstLine="480" w:firstLineChars="200"/>
        <w:jc w:val="both"/>
        <w:rPr>
          <w:rFonts w:ascii="宋体" w:hAnsi="宋体"/>
          <w:sz w:val="24"/>
        </w:rPr>
      </w:pPr>
      <w:r>
        <w:rPr>
          <w:rFonts w:hint="eastAsia" w:ascii="宋体" w:hAnsi="宋体"/>
          <w:sz w:val="24"/>
        </w:rPr>
        <w:t>2.乙方权利义务</w:t>
      </w:r>
    </w:p>
    <w:p>
      <w:pPr>
        <w:adjustRightInd w:val="0"/>
        <w:snapToGrid w:val="0"/>
        <w:spacing w:line="360" w:lineRule="auto"/>
        <w:ind w:firstLine="480" w:firstLineChars="200"/>
        <w:jc w:val="both"/>
        <w:rPr>
          <w:rFonts w:ascii="宋体" w:hAnsi="宋体"/>
          <w:sz w:val="24"/>
        </w:rPr>
      </w:pPr>
      <w:r>
        <w:rPr>
          <w:rFonts w:hint="eastAsia" w:ascii="宋体" w:hAnsi="宋体"/>
          <w:sz w:val="24"/>
        </w:rPr>
        <w:t>（1）乙方应按甲方要求的时间、地点、</w:t>
      </w:r>
      <w:r>
        <w:rPr>
          <w:rFonts w:hint="eastAsia" w:ascii="宋体" w:hAnsi="宋体"/>
          <w:sz w:val="24"/>
          <w:lang w:val="en-US" w:eastAsia="zh-CN"/>
        </w:rPr>
        <w:t>操作规程</w:t>
      </w:r>
      <w:r>
        <w:rPr>
          <w:rFonts w:hint="eastAsia" w:ascii="宋体" w:hAnsi="宋体"/>
          <w:sz w:val="24"/>
        </w:rPr>
        <w:t>要求及标准等，完成所承包的业务，以甲方现场管理人员要求的为准，但对</w:t>
      </w:r>
      <w:r>
        <w:rPr>
          <w:rFonts w:hint="eastAsia" w:ascii="宋体" w:hAnsi="宋体"/>
          <w:sz w:val="24"/>
          <w:lang w:val="en-US" w:eastAsia="zh-CN"/>
        </w:rPr>
        <w:t>调车作业</w:t>
      </w:r>
      <w:r>
        <w:rPr>
          <w:rFonts w:hint="eastAsia" w:ascii="宋体" w:hAnsi="宋体"/>
          <w:sz w:val="24"/>
        </w:rPr>
        <w:t>涉及的安全、质量，以国家铁路管理方的要求及标准为前提。</w:t>
      </w:r>
    </w:p>
    <w:p>
      <w:pPr>
        <w:adjustRightInd w:val="0"/>
        <w:snapToGrid w:val="0"/>
        <w:spacing w:line="360" w:lineRule="auto"/>
        <w:ind w:firstLine="480" w:firstLineChars="200"/>
        <w:jc w:val="both"/>
        <w:rPr>
          <w:rFonts w:ascii="宋体" w:hAnsi="宋体"/>
          <w:sz w:val="24"/>
        </w:rPr>
      </w:pPr>
      <w:r>
        <w:rPr>
          <w:rFonts w:hint="eastAsia" w:ascii="宋体" w:hAnsi="宋体"/>
          <w:sz w:val="24"/>
        </w:rPr>
        <w:t>（2）因甲方生产或其他原因，需要临时改变乙方开展所承包的业务的时间、地点、业务量等因素时，乙方应按甲方的要求完成所承包的业务。由此产生的额外费用，由甲、乙双方另行协商确定。</w:t>
      </w:r>
    </w:p>
    <w:p>
      <w:pPr>
        <w:adjustRightInd w:val="0"/>
        <w:snapToGrid w:val="0"/>
        <w:spacing w:line="360" w:lineRule="auto"/>
        <w:ind w:firstLine="480" w:firstLineChars="200"/>
        <w:jc w:val="both"/>
        <w:rPr>
          <w:rFonts w:hint="eastAsia" w:ascii="宋体" w:hAnsi="宋体"/>
          <w:sz w:val="24"/>
          <w:lang w:val="en-US" w:eastAsia="zh-CN"/>
        </w:rPr>
      </w:pPr>
      <w:r>
        <w:rPr>
          <w:rFonts w:hint="eastAsia" w:ascii="宋体" w:hAnsi="宋体"/>
          <w:sz w:val="24"/>
        </w:rPr>
        <w:t>（3）乙方应按甲方要求，按期按质按量的完成所承包的业务，不得影响甲方的生产。如因乙方原因，影响甲方生产，造成损失的，则乙方应赔偿甲方损失。</w:t>
      </w:r>
      <w:r>
        <w:rPr>
          <w:rFonts w:hint="eastAsia" w:ascii="宋体" w:hAnsi="宋体"/>
          <w:sz w:val="24"/>
          <w:lang w:val="en-US" w:eastAsia="zh-CN"/>
        </w:rPr>
        <w:t xml:space="preserve">      </w:t>
      </w:r>
    </w:p>
    <w:p>
      <w:pPr>
        <w:adjustRightInd w:val="0"/>
        <w:snapToGrid w:val="0"/>
        <w:spacing w:line="360" w:lineRule="auto"/>
        <w:ind w:firstLine="480" w:firstLineChars="200"/>
        <w:jc w:val="both"/>
        <w:rPr>
          <w:rFonts w:ascii="宋体" w:hAnsi="宋体"/>
          <w:sz w:val="24"/>
        </w:rPr>
      </w:pPr>
      <w:r>
        <w:rPr>
          <w:rFonts w:hint="eastAsia" w:ascii="宋体" w:hAnsi="宋体"/>
          <w:sz w:val="24"/>
        </w:rPr>
        <w:t>（4）乙方在开展所承包的业务时，应按照国家、地方的安全生产规程进行，并从管理费中提取一部分费用按规定向其从事所承包业务的工作的员工提供相应的劳动保护用品，做到安全生产。</w:t>
      </w:r>
    </w:p>
    <w:p>
      <w:pPr>
        <w:adjustRightInd w:val="0"/>
        <w:snapToGrid w:val="0"/>
        <w:spacing w:line="360" w:lineRule="auto"/>
        <w:ind w:firstLine="480" w:firstLineChars="200"/>
        <w:jc w:val="both"/>
        <w:rPr>
          <w:rFonts w:ascii="宋体" w:hAnsi="宋体"/>
          <w:sz w:val="24"/>
        </w:rPr>
      </w:pPr>
      <w:r>
        <w:rPr>
          <w:rFonts w:hint="eastAsia" w:ascii="宋体" w:hAnsi="宋体"/>
          <w:sz w:val="24"/>
        </w:rPr>
        <w:t>（5） 乙方派出的务工人员必须已同乙方签订了劳动合同或临时劳务协议，并持有有效身份证件。乙方必须对其开展所承包的业务的员工进行安全教育，确保其掌握</w:t>
      </w:r>
      <w:r>
        <w:rPr>
          <w:rFonts w:hint="eastAsia" w:ascii="宋体" w:hAnsi="宋体"/>
          <w:sz w:val="24"/>
          <w:lang w:val="en-US" w:eastAsia="zh-CN"/>
        </w:rPr>
        <w:t>调车作业</w:t>
      </w:r>
      <w:r>
        <w:rPr>
          <w:rFonts w:hint="eastAsia" w:ascii="宋体" w:hAnsi="宋体"/>
          <w:sz w:val="24"/>
        </w:rPr>
        <w:t>方法，熟悉生产作业流程，熟悉指挥信号等。如未经培训，在作业过程中，造成本方或他方的人员安全、财产侵害和受损的事故时，由乙方承担损失和赔偿责任。</w:t>
      </w:r>
    </w:p>
    <w:p>
      <w:pPr>
        <w:adjustRightInd w:val="0"/>
        <w:snapToGrid w:val="0"/>
        <w:spacing w:line="360" w:lineRule="auto"/>
        <w:ind w:firstLine="480" w:firstLineChars="200"/>
        <w:jc w:val="both"/>
        <w:rPr>
          <w:rFonts w:ascii="宋体" w:hAnsi="宋体"/>
          <w:sz w:val="24"/>
        </w:rPr>
      </w:pPr>
      <w:r>
        <w:rPr>
          <w:rFonts w:hint="eastAsia" w:ascii="宋体" w:hAnsi="宋体"/>
          <w:sz w:val="24"/>
        </w:rPr>
        <w:t>（6）如发生作业人员未参加工伤保险，赔付的费用乙方承担。</w:t>
      </w:r>
    </w:p>
    <w:p>
      <w:pPr>
        <w:adjustRightInd w:val="0"/>
        <w:snapToGrid w:val="0"/>
        <w:spacing w:line="360" w:lineRule="auto"/>
        <w:ind w:firstLine="480" w:firstLineChars="200"/>
        <w:jc w:val="both"/>
        <w:rPr>
          <w:rFonts w:ascii="宋体" w:hAnsi="宋体"/>
          <w:sz w:val="24"/>
        </w:rPr>
      </w:pPr>
      <w:r>
        <w:rPr>
          <w:rFonts w:hint="eastAsia" w:ascii="宋体" w:hAnsi="宋体"/>
          <w:sz w:val="24"/>
        </w:rPr>
        <w:t>（7） 乙方在提供了完整的结算付款所需的凭证、发票等资料，并符合了结算付款要求后，有权要求甲方按约付款。</w:t>
      </w:r>
    </w:p>
    <w:p>
      <w:pPr>
        <w:adjustRightInd w:val="0"/>
        <w:snapToGrid w:val="0"/>
        <w:spacing w:line="360" w:lineRule="auto"/>
        <w:ind w:firstLine="480" w:firstLineChars="200"/>
        <w:jc w:val="both"/>
        <w:rPr>
          <w:rFonts w:ascii="宋体" w:hAnsi="宋体"/>
          <w:sz w:val="24"/>
        </w:rPr>
      </w:pPr>
      <w:r>
        <w:rPr>
          <w:rFonts w:hint="eastAsia" w:ascii="宋体" w:hAnsi="宋体"/>
          <w:sz w:val="24"/>
        </w:rPr>
        <w:t>（8）因乙方原因，致使</w:t>
      </w:r>
      <w:r>
        <w:rPr>
          <w:rFonts w:hint="eastAsia" w:ascii="宋体" w:hAnsi="宋体"/>
          <w:sz w:val="24"/>
          <w:lang w:eastAsia="zh-CN"/>
        </w:rPr>
        <w:t>调车作业</w:t>
      </w:r>
      <w:r>
        <w:rPr>
          <w:rFonts w:hint="eastAsia" w:ascii="宋体" w:hAnsi="宋体"/>
          <w:sz w:val="24"/>
        </w:rPr>
        <w:t>人员不能充分到位，乙方授权甲方外调人员，甲方外调</w:t>
      </w:r>
      <w:r>
        <w:rPr>
          <w:rFonts w:hint="eastAsia" w:ascii="宋体" w:hAnsi="宋体"/>
          <w:sz w:val="24"/>
          <w:lang w:val="en-US" w:eastAsia="zh-CN"/>
        </w:rPr>
        <w:t>调车作业</w:t>
      </w:r>
      <w:r>
        <w:rPr>
          <w:rFonts w:hint="eastAsia" w:ascii="宋体" w:hAnsi="宋体"/>
          <w:sz w:val="24"/>
        </w:rPr>
        <w:t>人员视作乙方作业人员，由此发生的超额费用从承包费中扣除，同时，外调</w:t>
      </w:r>
      <w:r>
        <w:rPr>
          <w:rFonts w:hint="eastAsia" w:ascii="宋体" w:hAnsi="宋体"/>
          <w:sz w:val="24"/>
          <w:lang w:eastAsia="zh-CN"/>
        </w:rPr>
        <w:t>调车</w:t>
      </w:r>
      <w:r>
        <w:rPr>
          <w:rFonts w:hint="eastAsia" w:ascii="宋体" w:hAnsi="宋体"/>
          <w:sz w:val="24"/>
        </w:rPr>
        <w:t>作业人员的安全、劳动风险由乙方承担。</w:t>
      </w:r>
    </w:p>
    <w:p>
      <w:pPr>
        <w:adjustRightInd w:val="0"/>
        <w:snapToGrid w:val="0"/>
        <w:spacing w:line="360" w:lineRule="auto"/>
        <w:ind w:firstLine="480" w:firstLineChars="200"/>
        <w:jc w:val="both"/>
        <w:rPr>
          <w:rFonts w:ascii="宋体" w:hAnsi="宋体"/>
          <w:sz w:val="24"/>
        </w:rPr>
      </w:pPr>
      <w:r>
        <w:rPr>
          <w:rFonts w:hint="eastAsia" w:ascii="宋体" w:hAnsi="宋体"/>
          <w:sz w:val="24"/>
        </w:rPr>
        <w:t>（9） 乙方在进行所承包的业务时，应对甲方财产尽到妥善保管义务，不得有使甲方财产毁损、灭失或偷窃、私自变卖甲方财产等行为，如有损失，等价赔偿。</w:t>
      </w:r>
    </w:p>
    <w:p>
      <w:pPr>
        <w:adjustRightInd w:val="0"/>
        <w:snapToGrid w:val="0"/>
        <w:spacing w:line="360" w:lineRule="auto"/>
        <w:ind w:firstLine="480" w:firstLineChars="200"/>
        <w:jc w:val="both"/>
        <w:rPr>
          <w:rFonts w:ascii="宋体" w:hAnsi="宋体"/>
          <w:sz w:val="24"/>
        </w:rPr>
      </w:pPr>
      <w:r>
        <w:rPr>
          <w:rFonts w:hint="eastAsia" w:ascii="宋体" w:hAnsi="宋体"/>
          <w:sz w:val="24"/>
        </w:rPr>
        <w:t>（10） 乙方应对其安排从事所承包业务的工作人员进行有效管理，并确保乙方工作人员在甲方生产区域开展工作时不得影响、破坏甲方的生产纪律和劳动纪律，否则乙方应承担由此产生的违约责任。</w:t>
      </w:r>
    </w:p>
    <w:p>
      <w:pPr>
        <w:adjustRightInd w:val="0"/>
        <w:snapToGrid w:val="0"/>
        <w:spacing w:line="360" w:lineRule="auto"/>
        <w:ind w:firstLine="480" w:firstLineChars="200"/>
        <w:jc w:val="both"/>
        <w:rPr>
          <w:rFonts w:ascii="宋体" w:hAnsi="宋体"/>
          <w:sz w:val="24"/>
        </w:rPr>
      </w:pPr>
      <w:r>
        <w:rPr>
          <w:rFonts w:hint="eastAsia" w:ascii="宋体" w:hAnsi="宋体"/>
          <w:sz w:val="24"/>
        </w:rPr>
        <w:t>（11）乙方应遵从或接受甲方与之有关的规章和规定。如关于安全生产事故处理方面的规定，关于禁止作业人员对客户“索、拿、卡、要”方面的要求等。</w:t>
      </w:r>
    </w:p>
    <w:p>
      <w:pPr>
        <w:adjustRightInd w:val="0"/>
        <w:snapToGrid w:val="0"/>
        <w:spacing w:line="360" w:lineRule="auto"/>
        <w:ind w:firstLine="480" w:firstLineChars="200"/>
        <w:jc w:val="both"/>
        <w:rPr>
          <w:rFonts w:ascii="宋体" w:hAnsi="宋体"/>
          <w:sz w:val="24"/>
        </w:rPr>
      </w:pPr>
      <w:r>
        <w:rPr>
          <w:rFonts w:hint="eastAsia" w:ascii="宋体" w:hAnsi="宋体"/>
          <w:sz w:val="24"/>
        </w:rPr>
        <w:t>（12）乙方应派专人在生产现场负责其作业员工的管理考核，并根据作业范围大小或作业人员数量情况派相匹配的安全监护人员，进行安全巡查和安全监护，参加甲方相关会议，保证生产信息畅通，并做到与甲方的及时协调。</w:t>
      </w:r>
    </w:p>
    <w:p>
      <w:pPr>
        <w:adjustRightInd w:val="0"/>
        <w:snapToGrid w:val="0"/>
        <w:spacing w:line="360" w:lineRule="auto"/>
        <w:ind w:firstLine="480" w:firstLineChars="200"/>
        <w:jc w:val="both"/>
        <w:rPr>
          <w:rFonts w:ascii="宋体" w:hAnsi="宋体"/>
          <w:sz w:val="24"/>
        </w:rPr>
      </w:pPr>
      <w:r>
        <w:rPr>
          <w:rFonts w:hint="eastAsia" w:ascii="宋体" w:hAnsi="宋体"/>
          <w:sz w:val="24"/>
        </w:rPr>
        <w:t>（13）乙方的作业人员在甲方工作场所发生的所有工伤、工亡事故由乙方负责。因甲方违章指挥、违章作业造成的工伤、工亡，超过保险赔付的费用按照实际责任，双方协商一致后分摊。</w:t>
      </w:r>
    </w:p>
    <w:p>
      <w:pPr>
        <w:adjustRightInd w:val="0"/>
        <w:snapToGrid w:val="0"/>
        <w:spacing w:line="360" w:lineRule="auto"/>
        <w:ind w:firstLine="480" w:firstLineChars="200"/>
        <w:jc w:val="both"/>
        <w:rPr>
          <w:rFonts w:ascii="宋体" w:hAnsi="宋体"/>
          <w:sz w:val="24"/>
        </w:rPr>
      </w:pPr>
      <w:r>
        <w:rPr>
          <w:rFonts w:hint="eastAsia" w:ascii="宋体" w:hAnsi="宋体"/>
          <w:sz w:val="24"/>
        </w:rPr>
        <w:t>七、双方承诺与保证</w:t>
      </w:r>
    </w:p>
    <w:p>
      <w:pPr>
        <w:adjustRightInd w:val="0"/>
        <w:snapToGrid w:val="0"/>
        <w:spacing w:line="360" w:lineRule="auto"/>
        <w:ind w:firstLine="480" w:firstLineChars="200"/>
        <w:jc w:val="both"/>
        <w:rPr>
          <w:rFonts w:ascii="宋体" w:hAnsi="宋体"/>
          <w:sz w:val="24"/>
        </w:rPr>
      </w:pPr>
      <w:r>
        <w:rPr>
          <w:rFonts w:hint="eastAsia" w:ascii="宋体" w:hAnsi="宋体"/>
          <w:sz w:val="24"/>
        </w:rPr>
        <w:t>（一）甲方承诺具有合法、有效授权签署本合同。</w:t>
      </w:r>
    </w:p>
    <w:p>
      <w:pPr>
        <w:adjustRightInd w:val="0"/>
        <w:snapToGrid w:val="0"/>
        <w:spacing w:line="360" w:lineRule="auto"/>
        <w:ind w:firstLine="480" w:firstLineChars="200"/>
        <w:jc w:val="both"/>
        <w:rPr>
          <w:rFonts w:ascii="宋体" w:hAnsi="宋体"/>
          <w:sz w:val="24"/>
        </w:rPr>
      </w:pPr>
      <w:r>
        <w:rPr>
          <w:rFonts w:hint="eastAsia" w:ascii="宋体" w:hAnsi="宋体"/>
          <w:sz w:val="24"/>
        </w:rPr>
        <w:t>（二）乙方承诺有权签署本合同，有能力按要求完全履行本合同。乙方保证完全承担基于本合同所产生的其应享有和承担权利义务。</w:t>
      </w:r>
    </w:p>
    <w:p>
      <w:pPr>
        <w:adjustRightInd w:val="0"/>
        <w:snapToGrid w:val="0"/>
        <w:spacing w:line="360" w:lineRule="auto"/>
        <w:ind w:firstLine="480" w:firstLineChars="200"/>
        <w:jc w:val="both"/>
        <w:rPr>
          <w:rFonts w:ascii="宋体" w:hAnsi="宋体"/>
          <w:sz w:val="24"/>
        </w:rPr>
      </w:pPr>
      <w:r>
        <w:rPr>
          <w:rFonts w:hint="eastAsia" w:ascii="宋体" w:hAnsi="宋体"/>
          <w:sz w:val="24"/>
        </w:rPr>
        <w:t>八、合同的变更、解除与终止</w:t>
      </w:r>
    </w:p>
    <w:p>
      <w:pPr>
        <w:adjustRightInd w:val="0"/>
        <w:snapToGrid w:val="0"/>
        <w:spacing w:line="360" w:lineRule="auto"/>
        <w:ind w:firstLine="480" w:firstLineChars="200"/>
        <w:jc w:val="both"/>
        <w:rPr>
          <w:rFonts w:ascii="宋体" w:hAnsi="宋体"/>
          <w:sz w:val="24"/>
        </w:rPr>
      </w:pPr>
      <w:r>
        <w:rPr>
          <w:rFonts w:hint="eastAsia" w:ascii="宋体" w:hAnsi="宋体"/>
          <w:sz w:val="24"/>
        </w:rPr>
        <w:t>（一）本合同一经签署生效，双方即应善意、诚信、完整履行，任何一方不得擅自变更、解除或终止本合同。</w:t>
      </w:r>
    </w:p>
    <w:p>
      <w:pPr>
        <w:adjustRightInd w:val="0"/>
        <w:snapToGrid w:val="0"/>
        <w:spacing w:line="360" w:lineRule="auto"/>
        <w:ind w:firstLine="480" w:firstLineChars="200"/>
        <w:jc w:val="both"/>
        <w:rPr>
          <w:rFonts w:ascii="宋体" w:hAnsi="宋体"/>
          <w:sz w:val="24"/>
        </w:rPr>
      </w:pPr>
      <w:r>
        <w:rPr>
          <w:rFonts w:hint="eastAsia" w:ascii="宋体" w:hAnsi="宋体"/>
          <w:sz w:val="24"/>
        </w:rPr>
        <w:t>（二）经双方共同协商一致，可以书面变更、解除或终止本合同。</w:t>
      </w:r>
    </w:p>
    <w:p>
      <w:pPr>
        <w:adjustRightInd w:val="0"/>
        <w:snapToGrid w:val="0"/>
        <w:spacing w:line="360" w:lineRule="auto"/>
        <w:ind w:firstLine="480" w:firstLineChars="200"/>
        <w:jc w:val="both"/>
        <w:rPr>
          <w:rFonts w:ascii="宋体" w:hAnsi="宋体"/>
          <w:sz w:val="24"/>
        </w:rPr>
      </w:pPr>
      <w:r>
        <w:rPr>
          <w:rFonts w:hint="eastAsia" w:ascii="宋体" w:hAnsi="宋体"/>
          <w:sz w:val="24"/>
        </w:rPr>
        <w:t>（三）凡符合下列情形之一，甲方有权单方面解除本合同，且无须承担任何责任：</w:t>
      </w:r>
    </w:p>
    <w:p>
      <w:pPr>
        <w:adjustRightInd w:val="0"/>
        <w:snapToGrid w:val="0"/>
        <w:spacing w:line="360" w:lineRule="auto"/>
        <w:ind w:firstLine="480" w:firstLineChars="200"/>
        <w:jc w:val="both"/>
        <w:rPr>
          <w:rFonts w:ascii="宋体" w:hAnsi="宋体"/>
          <w:sz w:val="24"/>
        </w:rPr>
      </w:pPr>
      <w:r>
        <w:rPr>
          <w:rFonts w:hint="eastAsia" w:ascii="宋体" w:hAnsi="宋体"/>
          <w:sz w:val="24"/>
        </w:rPr>
        <w:t>1.乙方没有能力履行本合同，或者乙方雇请的人员明显不足，无法满足甲方的日常生产需求的。</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2.乙方未能按甲方要求完成约定的业务严重影响生产的。</w:t>
      </w:r>
    </w:p>
    <w:p>
      <w:pPr>
        <w:adjustRightInd w:val="0"/>
        <w:snapToGrid w:val="0"/>
        <w:spacing w:line="360" w:lineRule="auto"/>
        <w:ind w:firstLine="480" w:firstLineChars="200"/>
        <w:jc w:val="both"/>
        <w:rPr>
          <w:rFonts w:ascii="宋体" w:hAnsi="宋体"/>
          <w:sz w:val="24"/>
          <w:highlight w:val="none"/>
        </w:rPr>
      </w:pPr>
      <w:r>
        <w:rPr>
          <w:rFonts w:hint="eastAsia" w:ascii="宋体" w:hAnsi="宋体"/>
          <w:sz w:val="24"/>
          <w:highlight w:val="none"/>
        </w:rPr>
        <w:t>3.乙方以明示或默示的方式表示，不愿履行或不愿继续履行本合同的。</w:t>
      </w:r>
    </w:p>
    <w:p>
      <w:pPr>
        <w:adjustRightInd w:val="0"/>
        <w:snapToGrid w:val="0"/>
        <w:spacing w:line="360" w:lineRule="auto"/>
        <w:ind w:firstLine="480" w:firstLineChars="200"/>
        <w:jc w:val="both"/>
        <w:rPr>
          <w:rFonts w:ascii="宋体" w:hAnsi="宋体"/>
          <w:sz w:val="24"/>
          <w:highlight w:val="none"/>
        </w:rPr>
      </w:pPr>
      <w:r>
        <w:rPr>
          <w:rFonts w:hint="eastAsia" w:ascii="宋体" w:hAnsi="宋体"/>
          <w:sz w:val="24"/>
        </w:rPr>
        <w:t>（四）甲方行使单方解除权时，自甲方向乙方指定地址（本合同尾部列明的地</w:t>
      </w:r>
      <w:r>
        <w:rPr>
          <w:rFonts w:hint="eastAsia" w:ascii="宋体" w:hAnsi="宋体"/>
          <w:sz w:val="24"/>
          <w:highlight w:val="none"/>
        </w:rPr>
        <w:t>址）</w:t>
      </w:r>
      <w:r>
        <w:rPr>
          <w:rFonts w:hint="eastAsia" w:ascii="宋体" w:hAnsi="宋体"/>
          <w:sz w:val="24"/>
          <w:highlight w:val="none"/>
          <w:lang w:val="en-US" w:eastAsia="zh-CN"/>
        </w:rPr>
        <w:t>提前一个月</w:t>
      </w:r>
      <w:r>
        <w:rPr>
          <w:rFonts w:hint="eastAsia" w:ascii="宋体" w:hAnsi="宋体"/>
          <w:sz w:val="24"/>
          <w:highlight w:val="none"/>
        </w:rPr>
        <w:t>发出书面通知之日，本合同解除</w:t>
      </w:r>
      <w:r>
        <w:rPr>
          <w:rFonts w:hint="eastAsia" w:ascii="宋体" w:hAnsi="宋体"/>
          <w:sz w:val="24"/>
          <w:highlight w:val="none"/>
          <w:lang w:eastAsia="zh-CN"/>
        </w:rPr>
        <w:t>，</w:t>
      </w:r>
      <w:r>
        <w:rPr>
          <w:rFonts w:hint="eastAsia" w:ascii="宋体" w:hAnsi="宋体"/>
          <w:sz w:val="24"/>
          <w:highlight w:val="none"/>
          <w:lang w:val="en-US" w:eastAsia="zh-CN"/>
        </w:rPr>
        <w:t>不予补偿。</w:t>
      </w:r>
    </w:p>
    <w:p>
      <w:pPr>
        <w:adjustRightInd w:val="0"/>
        <w:snapToGrid w:val="0"/>
        <w:spacing w:line="360" w:lineRule="auto"/>
        <w:ind w:firstLine="480" w:firstLineChars="200"/>
        <w:jc w:val="both"/>
        <w:rPr>
          <w:rFonts w:ascii="宋体" w:hAnsi="宋体"/>
          <w:sz w:val="24"/>
        </w:rPr>
      </w:pPr>
      <w:r>
        <w:rPr>
          <w:rFonts w:hint="eastAsia" w:ascii="宋体" w:hAnsi="宋体"/>
          <w:sz w:val="24"/>
        </w:rPr>
        <w:t>（五）因为不可抗力因素，致使本合同无法履行或无法继续履行时，本合同终止。</w:t>
      </w:r>
    </w:p>
    <w:p>
      <w:pPr>
        <w:adjustRightInd w:val="0"/>
        <w:snapToGrid w:val="0"/>
        <w:spacing w:line="360" w:lineRule="auto"/>
        <w:ind w:firstLine="480" w:firstLineChars="200"/>
        <w:jc w:val="both"/>
        <w:rPr>
          <w:rFonts w:ascii="宋体" w:hAnsi="宋体"/>
          <w:sz w:val="24"/>
        </w:rPr>
      </w:pPr>
      <w:r>
        <w:rPr>
          <w:rFonts w:hint="eastAsia" w:ascii="宋体" w:hAnsi="宋体"/>
          <w:sz w:val="24"/>
        </w:rPr>
        <w:t>（六） 本合同约定的乙方承包期限届满时，本合同自动终止。</w:t>
      </w:r>
    </w:p>
    <w:p>
      <w:pPr>
        <w:adjustRightInd w:val="0"/>
        <w:snapToGrid w:val="0"/>
        <w:spacing w:line="360" w:lineRule="auto"/>
        <w:ind w:firstLine="480" w:firstLineChars="200"/>
        <w:jc w:val="both"/>
        <w:rPr>
          <w:rFonts w:ascii="宋体" w:hAnsi="宋体"/>
          <w:sz w:val="24"/>
        </w:rPr>
      </w:pPr>
      <w:r>
        <w:rPr>
          <w:rFonts w:hint="eastAsia" w:ascii="宋体" w:hAnsi="宋体"/>
          <w:sz w:val="24"/>
        </w:rPr>
        <w:t>（七）甲方保留同时与其它劳务公司开展业务承包合作并签订合同的权利。</w:t>
      </w:r>
    </w:p>
    <w:p>
      <w:pPr>
        <w:adjustRightInd w:val="0"/>
        <w:snapToGrid w:val="0"/>
        <w:spacing w:line="360" w:lineRule="auto"/>
        <w:ind w:firstLine="480" w:firstLineChars="200"/>
        <w:jc w:val="both"/>
        <w:rPr>
          <w:rFonts w:ascii="宋体" w:hAnsi="宋体"/>
          <w:sz w:val="24"/>
        </w:rPr>
      </w:pPr>
      <w:r>
        <w:rPr>
          <w:rFonts w:hint="eastAsia" w:ascii="宋体" w:hAnsi="宋体"/>
          <w:sz w:val="24"/>
        </w:rPr>
        <w:t>九、争议解决</w:t>
      </w:r>
    </w:p>
    <w:p>
      <w:pPr>
        <w:adjustRightInd w:val="0"/>
        <w:snapToGrid w:val="0"/>
        <w:spacing w:line="360" w:lineRule="auto"/>
        <w:ind w:firstLine="480" w:firstLineChars="200"/>
        <w:jc w:val="both"/>
        <w:rPr>
          <w:rFonts w:ascii="宋体" w:hAnsi="宋体"/>
          <w:sz w:val="24"/>
        </w:rPr>
      </w:pPr>
      <w:r>
        <w:rPr>
          <w:rFonts w:hint="eastAsia" w:ascii="宋体" w:hAnsi="宋体"/>
          <w:sz w:val="24"/>
        </w:rPr>
        <w:t>凡因本合同产生的、或与本合同有关的争议，包括合同的存在、效力或终止等任何问题，双方应首先协商解决；协商不成的，任何一方应向甲方所在地有管辖权的法院提起诉讼解决。</w:t>
      </w:r>
    </w:p>
    <w:p>
      <w:pPr>
        <w:adjustRightInd w:val="0"/>
        <w:snapToGrid w:val="0"/>
        <w:spacing w:line="360" w:lineRule="auto"/>
        <w:ind w:firstLine="480" w:firstLineChars="200"/>
        <w:jc w:val="both"/>
        <w:rPr>
          <w:rFonts w:ascii="宋体" w:hAnsi="宋体"/>
          <w:sz w:val="24"/>
        </w:rPr>
      </w:pPr>
      <w:r>
        <w:rPr>
          <w:rFonts w:hint="eastAsia" w:ascii="宋体" w:hAnsi="宋体"/>
          <w:sz w:val="24"/>
        </w:rPr>
        <w:t>十、其它约定</w:t>
      </w:r>
    </w:p>
    <w:p>
      <w:pPr>
        <w:adjustRightInd w:val="0"/>
        <w:snapToGrid w:val="0"/>
        <w:spacing w:line="360" w:lineRule="auto"/>
        <w:ind w:firstLine="480" w:firstLineChars="200"/>
        <w:jc w:val="both"/>
        <w:rPr>
          <w:rFonts w:ascii="宋体" w:hAnsi="宋体"/>
          <w:sz w:val="24"/>
        </w:rPr>
      </w:pPr>
      <w:r>
        <w:rPr>
          <w:rFonts w:hint="eastAsia" w:ascii="宋体" w:hAnsi="宋体"/>
          <w:sz w:val="24"/>
        </w:rPr>
        <w:t>（一）本合同自双方均签字并加盖行政章或合同专用章时生效，并以甲方签约日期为合同生效日。</w:t>
      </w:r>
    </w:p>
    <w:p>
      <w:pPr>
        <w:adjustRightInd w:val="0"/>
        <w:snapToGrid w:val="0"/>
        <w:spacing w:line="360" w:lineRule="auto"/>
        <w:ind w:firstLine="480" w:firstLineChars="200"/>
        <w:jc w:val="both"/>
        <w:rPr>
          <w:rFonts w:hint="eastAsia" w:ascii="宋体" w:hAnsi="宋体" w:eastAsia="宋体"/>
          <w:sz w:val="24"/>
          <w:lang w:eastAsia="zh-CN"/>
        </w:rPr>
      </w:pPr>
      <w:r>
        <w:rPr>
          <w:rFonts w:hint="eastAsia" w:ascii="宋体" w:hAnsi="宋体"/>
          <w:sz w:val="24"/>
        </w:rPr>
        <w:t>（二）合同附件为本合同不可分割部分，与本合同具有同等法律效力，合同附件</w:t>
      </w:r>
      <w:r>
        <w:rPr>
          <w:rFonts w:hint="eastAsia" w:ascii="宋体" w:hAnsi="宋体"/>
          <w:sz w:val="24"/>
          <w:lang w:eastAsia="zh-CN"/>
        </w:rPr>
        <w:t>一</w:t>
      </w:r>
      <w:r>
        <w:rPr>
          <w:rFonts w:hint="eastAsia" w:ascii="宋体" w:hAnsi="宋体"/>
          <w:sz w:val="24"/>
        </w:rPr>
        <w:t>：安全合同</w:t>
      </w:r>
      <w:r>
        <w:rPr>
          <w:rFonts w:hint="eastAsia" w:ascii="宋体" w:hAnsi="宋体"/>
          <w:sz w:val="24"/>
          <w:lang w:eastAsia="zh-CN"/>
        </w:rPr>
        <w:t>；合同附件二：铁运公司安全生产管理制度。</w:t>
      </w:r>
    </w:p>
    <w:p>
      <w:pPr>
        <w:adjustRightInd w:val="0"/>
        <w:snapToGrid w:val="0"/>
        <w:spacing w:line="360" w:lineRule="auto"/>
        <w:ind w:firstLine="480" w:firstLineChars="200"/>
        <w:jc w:val="both"/>
        <w:rPr>
          <w:rFonts w:ascii="宋体" w:hAnsi="宋体"/>
          <w:sz w:val="24"/>
        </w:rPr>
      </w:pPr>
      <w:r>
        <w:rPr>
          <w:rFonts w:hint="eastAsia" w:ascii="宋体" w:hAnsi="宋体"/>
          <w:sz w:val="24"/>
        </w:rPr>
        <w:t>（三）本合同正本一式肆份，具有同等法律效力，其中甲方三份，乙方一份。</w:t>
      </w:r>
    </w:p>
    <w:p>
      <w:pPr>
        <w:adjustRightInd w:val="0"/>
        <w:snapToGrid w:val="0"/>
        <w:spacing w:line="360" w:lineRule="auto"/>
        <w:jc w:val="both"/>
        <w:rPr>
          <w:rFonts w:hint="eastAsia" w:ascii="宋体" w:hAnsi="宋体"/>
          <w:sz w:val="24"/>
        </w:rPr>
      </w:pPr>
    </w:p>
    <w:p>
      <w:pPr>
        <w:adjustRightInd w:val="0"/>
        <w:snapToGrid w:val="0"/>
        <w:spacing w:line="360" w:lineRule="auto"/>
        <w:ind w:firstLine="480" w:firstLineChars="200"/>
        <w:jc w:val="both"/>
        <w:rPr>
          <w:rFonts w:ascii="宋体" w:hAnsi="宋体"/>
          <w:sz w:val="24"/>
        </w:rPr>
      </w:pPr>
      <w:r>
        <w:rPr>
          <w:rFonts w:hint="eastAsia" w:ascii="宋体" w:hAnsi="宋体"/>
          <w:sz w:val="24"/>
        </w:rPr>
        <w:t xml:space="preserve">甲方：岳阳城陵矶港务有限责任公司  乙方：                             </w:t>
      </w:r>
    </w:p>
    <w:p>
      <w:pPr>
        <w:adjustRightInd w:val="0"/>
        <w:snapToGrid w:val="0"/>
        <w:spacing w:line="360" w:lineRule="auto"/>
        <w:ind w:firstLine="480" w:firstLineChars="200"/>
        <w:jc w:val="both"/>
        <w:rPr>
          <w:rFonts w:ascii="宋体" w:hAnsi="宋体"/>
          <w:sz w:val="24"/>
        </w:rPr>
      </w:pPr>
      <w:r>
        <w:rPr>
          <w:rFonts w:hint="eastAsia" w:ascii="宋体" w:hAnsi="宋体"/>
          <w:sz w:val="24"/>
        </w:rPr>
        <w:t>（公章）                           （公章）</w:t>
      </w:r>
    </w:p>
    <w:p>
      <w:pPr>
        <w:adjustRightInd w:val="0"/>
        <w:snapToGrid w:val="0"/>
        <w:spacing w:line="360" w:lineRule="auto"/>
        <w:ind w:firstLine="480" w:firstLineChars="200"/>
        <w:jc w:val="both"/>
        <w:rPr>
          <w:rFonts w:ascii="宋体" w:hAnsi="宋体"/>
          <w:sz w:val="24"/>
        </w:rPr>
      </w:pPr>
      <w:r>
        <w:rPr>
          <w:rFonts w:hint="eastAsia" w:ascii="宋体" w:hAnsi="宋体"/>
          <w:sz w:val="24"/>
        </w:rPr>
        <w:t xml:space="preserve">法定代表人：                       法定代表人：                     </w:t>
      </w:r>
    </w:p>
    <w:p>
      <w:pPr>
        <w:adjustRightInd w:val="0"/>
        <w:snapToGrid w:val="0"/>
        <w:spacing w:line="360" w:lineRule="auto"/>
        <w:ind w:firstLine="480" w:firstLineChars="200"/>
        <w:jc w:val="both"/>
        <w:rPr>
          <w:rFonts w:ascii="宋体" w:hAnsi="宋体"/>
          <w:sz w:val="24"/>
        </w:rPr>
      </w:pPr>
      <w:r>
        <w:rPr>
          <w:rFonts w:hint="eastAsia" w:ascii="宋体" w:hAnsi="宋体"/>
          <w:sz w:val="24"/>
        </w:rPr>
        <w:t xml:space="preserve">或委托代理人：                     或委托代理人：                            </w:t>
      </w:r>
    </w:p>
    <w:p>
      <w:pPr>
        <w:adjustRightInd w:val="0"/>
        <w:snapToGrid w:val="0"/>
        <w:spacing w:line="360" w:lineRule="auto"/>
        <w:ind w:firstLine="480" w:firstLineChars="200"/>
        <w:jc w:val="both"/>
        <w:rPr>
          <w:rFonts w:ascii="宋体" w:hAnsi="宋体" w:eastAsia="宋体"/>
        </w:rPr>
      </w:pPr>
      <w:r>
        <w:rPr>
          <w:rFonts w:hint="eastAsia" w:ascii="宋体" w:hAnsi="宋体"/>
          <w:sz w:val="24"/>
        </w:rPr>
        <w:t xml:space="preserve">日      期：                       日       期：                       </w:t>
      </w:r>
    </w:p>
    <w:p>
      <w:pPr>
        <w:jc w:val="both"/>
        <w:rPr>
          <w:rFonts w:hint="eastAsia" w:ascii="宋体" w:hAnsi="宋体" w:eastAsia="宋体"/>
          <w:lang w:val="en-US" w:eastAsia="zh-CN"/>
        </w:rPr>
      </w:pPr>
    </w:p>
    <w:p>
      <w:pPr>
        <w:jc w:val="both"/>
        <w:rPr>
          <w:rFonts w:hint="eastAsia" w:ascii="宋体" w:hAnsi="宋体" w:eastAsia="宋体"/>
          <w:lang w:val="en-US" w:eastAsia="zh-CN"/>
        </w:rPr>
      </w:pPr>
      <w:r>
        <w:rPr>
          <w:rFonts w:hint="eastAsia" w:ascii="宋体" w:hAnsi="宋体" w:eastAsia="宋体"/>
          <w:lang w:val="en-US" w:eastAsia="zh-CN"/>
        </w:rPr>
        <w:t>附件：</w:t>
      </w:r>
    </w:p>
    <w:p>
      <w:pPr>
        <w:jc w:val="center"/>
        <w:rPr>
          <w:rFonts w:hint="eastAsia"/>
          <w:sz w:val="44"/>
          <w:szCs w:val="52"/>
          <w:lang w:val="en-US" w:eastAsia="zh-CN"/>
        </w:rPr>
      </w:pPr>
    </w:p>
    <w:p>
      <w:pPr>
        <w:jc w:val="center"/>
        <w:rPr>
          <w:rFonts w:hint="eastAsia"/>
          <w:sz w:val="36"/>
          <w:szCs w:val="36"/>
        </w:rPr>
      </w:pPr>
      <w:r>
        <w:rPr>
          <w:rFonts w:hint="eastAsia"/>
          <w:sz w:val="36"/>
          <w:szCs w:val="36"/>
          <w:lang w:val="en-US" w:eastAsia="zh-CN"/>
        </w:rPr>
        <w:t>铁运公司</w:t>
      </w:r>
      <w:r>
        <w:rPr>
          <w:rFonts w:hint="eastAsia"/>
          <w:sz w:val="36"/>
          <w:szCs w:val="36"/>
        </w:rPr>
        <w:t>安全生产管理制度</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一、</w:t>
      </w:r>
      <w:r>
        <w:rPr>
          <w:rFonts w:hint="eastAsia" w:ascii="宋体" w:hAnsi="宋体"/>
          <w:sz w:val="24"/>
        </w:rPr>
        <w:t>交接班制度</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为了更有效地搞好安全生产，各工种必须严肃认真，准时做好如下对口交接工作:</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、交接内容:</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1、交完成任务情况;</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2、交注意事项;</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3、交待办事项;</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4、交线路、道岔、车辆状况;</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5、交设备质量完整情况;</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6、交工具备品齐全;</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7、交值班日志、表格资料填写清楚完整;</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8、交清洁卫生。</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二、交接检查</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接班后根据上述交接内容、按各自工种及时核对、检查、联系，对上班交班不完整者应报告值班负责人和站领导追查原因，但接班 15 分钟内未检查到，由本班各自工种负责。</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凡不按上述要求对口交接，擅自提前下班或不按时上班者，所造成停时延长，设备丢失损坏或发生事故者，根据有关规定给予处罚，甚至追究法律责任。</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接班后必须按规定着装、挂牌上岗。</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 xml:space="preserve"> 班前会制度</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一、会议主持人:国家法定工作日由安全运输科派人主持，其余时间由大班主任主持;</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二、参加人员:运转大班全体人员，工作日的班前会增加电维人员，长白班人员。</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三、班前会内容:</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1、运用预先危险分析法，根据班任务及具体情况开展安全预想找关键、摆问题、提措施、防患于未然</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2、学习业务技术及有关行车规则，总结经验，不断提高业务水平，增强业务素质。</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3、学习上级及站有关文件，做好上传下达。</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完工会制度</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一、交班后，由大班主任主持，全班人员参加，召开完工会。</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二、分析总结班计划任务的兑现情况和工作经验及存在的问题。</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三、解编效率和各工种相互配合协调情况。</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四、生产过程中典型事迹及特殊任务完成情况，将问题原因、责任分析清,对改进工作意见取得统一认识,不断提高运输组织水平。</w:t>
      </w:r>
    </w:p>
    <w:p>
      <w:pPr>
        <w:adjustRightInd w:val="0"/>
        <w:snapToGrid w:val="0"/>
        <w:spacing w:line="360" w:lineRule="auto"/>
        <w:ind w:firstLine="480" w:firstLineChars="200"/>
        <w:jc w:val="both"/>
        <w:rPr>
          <w:rFonts w:hint="eastAsia" w:ascii="宋体" w:hAnsi="宋体"/>
          <w:sz w:val="24"/>
          <w:lang w:val="en-US" w:eastAsia="zh-CN"/>
        </w:rPr>
      </w:pPr>
      <w:r>
        <w:rPr>
          <w:rFonts w:hint="eastAsia" w:ascii="宋体" w:hAnsi="宋体"/>
          <w:sz w:val="24"/>
          <w:lang w:val="en-US" w:eastAsia="zh-CN"/>
        </w:rPr>
        <w:t>连接员岗位职责</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连接员(制动员)职责</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1、服从站调领导，在调车长的指挥下，搞好团结互助，严格执行各项规章制度，正确及时完成编解、取送、翻勾对位调车作业。</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2、必须服从调车长的作业计划，迅速明了作业程序，认真切实做好动车前的准备工作</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3、熟悉一切调车设备，密切注意线路前方和两侧情况，正确及时地为调车长显示或中转信号，夜间连挂时显示车辆停留位置信号。</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4、负责车辆的摘挂和结解风管工作，并认真检查车辆及货物装载的外观完好状况。</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5、负责线路、道岔的检查，及防溜止轮措施工作.</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6、负责非联锁道岔的扳道工作。</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四项纪律十六项注意</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一、四项纪律</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1、所有参加调车作业的人员必须熟悉调车规章和一切设备状况;</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2、调车作业必须由确定的调车员或代理调车员单指挥;</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3、调车作业一定要有书面计划(不超过三勾可口头传达)，必须向所有参加调车作业的人员传达作业计划改变计划时按《站细》第 41 条办理;</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4、调车作业前必须做好准备工作，严密组织，全面检查，分工负责。</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二、十六项注意</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1、站调与调车员必须亲自交接作业计划;</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2、调车员必须亲自按规定领车;</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3、调车作业必须保证接发列车的安全，不准抢勾;</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4、接发列车时，邻线没有隔开设备不准调车;</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5、没有看清情况，不准显示信号;</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6、没有信号，不能动车;信号不清，立即停车;</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7、夜间无人显示停留车位置信号，不准挂车:</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8、没有人显示“十、五、三车”信号，不准连挂:</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9、进入专用线应提前检查线路两旁堆放的货物，堆放的货物距钢轨头部外侧不得少于 1.5 米，站台上堆放的货物距站台边缘不得少于1 米，货物应堆放稳固防止倒塌，不符合上述要求不准调车作业;</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10、没有检查线路、道岔和停留车状况，不准作业:</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11、准确掌握速度，不准超速作业;</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12、对货位时，情况不明、货位不准，不准提勾:</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13、计划不清，不准扳动道岔;</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14、没有做好联系和防护，不准放行越区车和转场车</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15、不准两台机车同时接近一个进路道岔:</w:t>
      </w:r>
    </w:p>
    <w:p>
      <w:pPr>
        <w:adjustRightInd w:val="0"/>
        <w:snapToGrid w:val="0"/>
        <w:spacing w:line="360" w:lineRule="auto"/>
        <w:ind w:firstLine="480" w:firstLineChars="200"/>
        <w:jc w:val="both"/>
        <w:rPr>
          <w:rFonts w:hint="default" w:ascii="宋体" w:hAnsi="宋体"/>
          <w:sz w:val="24"/>
          <w:lang w:val="en-US" w:eastAsia="zh-CN"/>
        </w:rPr>
      </w:pPr>
      <w:r>
        <w:rPr>
          <w:rFonts w:hint="default" w:ascii="宋体" w:hAnsi="宋体"/>
          <w:sz w:val="24"/>
          <w:lang w:val="en-US" w:eastAsia="zh-CN"/>
        </w:rPr>
        <w:t>16、调车人员必须选择好地点上下车，不准反面上下车。</w:t>
      </w:r>
    </w:p>
    <w:p>
      <w:pPr>
        <w:adjustRightInd w:val="0"/>
        <w:snapToGrid w:val="0"/>
        <w:spacing w:line="360" w:lineRule="auto"/>
        <w:ind w:firstLine="480" w:firstLineChars="200"/>
        <w:jc w:val="both"/>
        <w:rPr>
          <w:rFonts w:hint="default" w:ascii="宋体" w:hAnsi="宋体"/>
          <w:sz w:val="24"/>
          <w:lang w:val="en-US" w:eastAsia="zh-CN"/>
        </w:rPr>
      </w:pP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安全教育制</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1、凡进站工作的新学员，必须经总公司、站、班组三级安全教育，严格执行《学员学习制度》。</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2、改换工种的职工，必须经站安全运输科、技术设备科短期培训学习，考核合格后方能上岗作业。</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3、有计划、有组织地对职工进行安全技术操作和技术业务知识的教育，开展练兵比武活动。</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4、站每月召开安全例会，学习安全生产文件，总结上月安全生产情况。</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5、充分利用班前会，对职工进行经常性的安全教育，对违章违纪现象及时批评教育。</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安全生产督查制</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为规范员工安全行为，及时发现整治各种安全隐患，根据工业站安全生产特点，特制定本制度、督查层级督查分经理督查、值班领导督查、大班主任督查及专项督查四级。</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2</w:t>
      </w:r>
      <w:r>
        <w:rPr>
          <w:rFonts w:hint="eastAsia" w:ascii="宋体" w:hAnsi="宋体"/>
          <w:sz w:val="24"/>
        </w:rPr>
        <w:t>、督查分静态督查与动态督查</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3、</w:t>
      </w:r>
      <w:r>
        <w:rPr>
          <w:rFonts w:hint="eastAsia" w:ascii="宋体" w:hAnsi="宋体"/>
          <w:sz w:val="24"/>
        </w:rPr>
        <w:t>静态督查主要内容:员工在岗情况、现场环境卫生设备设施是否完好。</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4、</w:t>
      </w:r>
      <w:r>
        <w:rPr>
          <w:rFonts w:hint="eastAsia" w:ascii="宋体" w:hAnsi="宋体"/>
          <w:sz w:val="24"/>
        </w:rPr>
        <w:t>动态督查主要内容:推进运行时主要督查调车作业人员是否按章作业，专用线是否存在安全隐患，牵引运行主要督查机务呼唤应答用语标准，道口看守员是否按章作业，线路两侧是否存在安全隐患。</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安全生产例会制度</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rPr>
        <w:t>为严肃会场纪律，规范会议程序，落实安全生产要确保会议达到实效，现制定有关安全例会制度:求</w:t>
      </w:r>
      <w:r>
        <w:rPr>
          <w:rFonts w:hint="eastAsia" w:ascii="宋体" w:hAnsi="宋体"/>
          <w:sz w:val="24"/>
          <w:lang w:eastAsia="zh-CN"/>
        </w:rPr>
        <w:t>。</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一、公司召开月度安全例会时应提前将开会时间、地点通知到科室、班组，落实到人;</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二、所有与会人员必须带齐笔和本子，作好会议记录，切实领会会议精神，并能完整地向班组员工进行传达;</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三、会议发言按先班组、科室后公司领导的顺序进行，做到发言有序、声音宏亮，即为:运转一班、运转二班、运转三班、运转四班、港纸车值班、电维班、工务班、道口班、华能扳道、技术科、货运科、办公室、财务科、安运科、公司领导;</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四、建立会议考勒制，即每位参会人员提前签名进会场，如有迟到按 10 元/人进行处罚，如有无故缺席者，班组科室员工按 50 元/人，中层领导按 100元/人的标准进行处罚，保证安全例会的权威性;</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五、开会(包括班前会)期间，与会人员不准嚼槟榔手机设静音、带振动或关闭，发现嚼槟榔或响手机每次罚款 20 元;</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六、严肃会场纪律，会上不得交头接耳或随意进出;</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七、如有特殊情况需请假或动车作业时，应向公司经理说明，得到批准后方可离场;</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rPr>
        <w:t>八、以上制度希望全员遵守，认真贯彻安全例会精</w:t>
      </w:r>
      <w:r>
        <w:rPr>
          <w:rFonts w:hint="eastAsia" w:ascii="宋体" w:hAnsi="宋体"/>
          <w:sz w:val="24"/>
          <w:lang w:eastAsia="zh-CN"/>
        </w:rPr>
        <w:t>神。</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学员学习制度</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一、新参加工作的学员(学徒工)，首先由总公司安监处进行安全教育，到站后由站安全、技术科进行铁路运输一般安全常识及本工种有关的安全技术知识理论、实践学习，然后分到班组进行学习。</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二、学员在上岗之前，与师傅签订师徒合同，做到尊师爱徒，互相关心。</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三、学员必须在师傅的指导下进行作业，不可盲目作业，做到谦虚谨慎，勤奋好学。</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四、学员跟班学习三个月之后进行理论、实践考试考核合格并通过鉴定后方可单独作业，否则延期三个月再进行考核鉴定。</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五、学员开始单独作业后，方可享受绩效工资。</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人身安全通用标准</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1</w:t>
      </w:r>
      <w:r>
        <w:rPr>
          <w:rFonts w:hint="eastAsia" w:ascii="宋体" w:hAnsi="宋体"/>
          <w:sz w:val="24"/>
        </w:rPr>
        <w:t>、班前要充分休息、禁止饮酒，班中按规定着装，佩带防护用品，思想高度集中。</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2、</w:t>
      </w:r>
      <w:r>
        <w:rPr>
          <w:rFonts w:hint="eastAsia" w:ascii="宋体" w:hAnsi="宋体"/>
          <w:sz w:val="24"/>
        </w:rPr>
        <w:t>顺线路走时，应走两线中间，并注意邻线的车列和货物装载状态。严禁在道心、枕木上行走，不准脚踏钢轨面、道岔连接杆及尖轨。</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3</w:t>
      </w:r>
      <w:r>
        <w:rPr>
          <w:rFonts w:hint="eastAsia" w:ascii="宋体" w:hAnsi="宋体"/>
          <w:sz w:val="24"/>
        </w:rPr>
        <w:t>、横越线路时，应做到“一站、二看、三通过”注意左右机车、车辆的动态及脚下有无障碍物。</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4</w:t>
      </w:r>
      <w:r>
        <w:rPr>
          <w:rFonts w:hint="eastAsia" w:ascii="宋体" w:hAnsi="宋体"/>
          <w:sz w:val="24"/>
        </w:rPr>
        <w:t>、绕行停有机车、车辆时，不得少于 5 米的距离并注意邻线过往车辆。</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5</w:t>
      </w:r>
      <w:r>
        <w:rPr>
          <w:rFonts w:hint="eastAsia" w:ascii="宋体" w:hAnsi="宋体"/>
          <w:sz w:val="24"/>
        </w:rPr>
        <w:t>、严禁在运行中的机车、车辆面前抢道。</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6</w:t>
      </w:r>
      <w:r>
        <w:rPr>
          <w:rFonts w:hint="eastAsia" w:ascii="宋体" w:hAnsi="宋体"/>
          <w:sz w:val="24"/>
        </w:rPr>
        <w:t>、严禁爬乘机车、车辆以车代步(调车作业中，调车人员除外)。</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lang w:val="en-US" w:eastAsia="zh-CN"/>
        </w:rPr>
        <w:t>7</w:t>
      </w:r>
      <w:r>
        <w:rPr>
          <w:rFonts w:hint="eastAsia" w:ascii="宋体" w:hAnsi="宋体"/>
          <w:sz w:val="24"/>
        </w:rPr>
        <w:t>、不准在钢轨上、车底下、枕木头及道心中坐卧休息。</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劳动纪律六条</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一、严格遵守劳动纪律，有事、病须缺勤时，应提前 4小时办理好请假手续，且事假需提前一天请示，不准迟到、早退、擅离岗位。</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二、当班前要充分休息，班中禁止饮酒，班前六小时不准喝酒，当班干活禁止在休息室睡觉、闲聊、干其它事情。</w:t>
      </w:r>
    </w:p>
    <w:p>
      <w:pPr>
        <w:adjustRightInd w:val="0"/>
        <w:snapToGrid w:val="0"/>
        <w:spacing w:line="360" w:lineRule="auto"/>
        <w:ind w:firstLine="480" w:firstLineChars="200"/>
        <w:jc w:val="both"/>
        <w:rPr>
          <w:rFonts w:hint="eastAsia" w:ascii="宋体" w:hAnsi="宋体"/>
          <w:sz w:val="24"/>
        </w:rPr>
      </w:pPr>
      <w:r>
        <w:rPr>
          <w:rFonts w:hint="eastAsia" w:ascii="宋体" w:hAnsi="宋体"/>
          <w:sz w:val="24"/>
        </w:rPr>
        <w:t>三、当班要思想集中，不准做私活、带小孩、打牌赌博。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rPr>
        <w:t>四、工作时要严肃认真，不准在调车场地、道口房站调室、休息室，机车上乱动设备、工具备品，不准损坏公物，否则照价赔偿</w:t>
      </w:r>
      <w:r>
        <w:rPr>
          <w:rFonts w:hint="eastAsia" w:ascii="宋体" w:hAnsi="宋体"/>
          <w:sz w:val="24"/>
          <w:lang w:eastAsia="zh-CN"/>
        </w:rPr>
        <w:t>。</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五、工作时间内，应着工装，并穿戴防护用品，不准穿红绿服装，不准穿朔料底鞋、拖鞋、高根鞋、调车作业人员穿皮鞋进行作业。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六、严格执行站部命令，服从领导，维护班组长工作，做到一起行动听指挥。</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铁运公司员工上下班交通安全管理规定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val="en-US" w:eastAsia="zh-CN"/>
        </w:rPr>
        <w:t>一、</w:t>
      </w:r>
      <w:r>
        <w:rPr>
          <w:rFonts w:hint="eastAsia" w:ascii="宋体" w:hAnsi="宋体"/>
          <w:sz w:val="24"/>
          <w:lang w:eastAsia="zh-CN"/>
        </w:rPr>
        <w:t>为了进一步加强公司交通安全管理工作，避免减少事故的发生，特制定员工上下班的交通安全管理规定。、自觉学习《道路交通安全法》、《道路交通安全法实施条例》等法律法规，提高交通安全意识和安全技能知识，并接受单位组织的安全培训教育义务;</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二、驾驶机动车(包括摩托车、电动车)上下班的，应当依法取得机动车驾驶证，无证驾驶机动车不得驶入公司，否则，发生事故伤害，后果自负;</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三、驾驶摩托车、电动车上下班必须正确戴好安全帽行驶，夜间行驶必须穿荧光服。否则，发生事故伤害，后果自负;</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四、驾驶人上道路行驶前，应当对汽车、摩托车.电动车的车辆状况和安全技术性能进行认真检查，不得驾驶车辆状况不良与安全设施不全等具有安全隐患的汽车、摩托车、电动车。否则，发生事故伤害，后果自负;</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五、驾驶人应当遵守道路交通安全法律法规的规定，按照操作规范安全驾驶、文明驾驶，不超速行驶不酒后驾驶，不疲劳驾驶，提前避让，不抢行通过，做到“宁停三分，不抢一秒”，以免发生意外事故。否则，发生事故伤害，后果自负;</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六、按规定停放车辆，驾驶员离开车辆时，应当对车辆采取制动措施，并确认停车安全，以防发生意外事故。否则，发生事故伤害，后果自负;</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七、上下班途中发生交通事故后，除了应当紧急抢救受伤人员和财产外，还要保护好事发现场，并迅速拨打 122 电话报警，报警讲清事故发生的时间、地点、主要情况;</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八、工作时间内不准擅自外出、提前早退，否则，所发生的交通事故伤害，一切由本人负责;</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九、上下班途中，因本人触犯了法律法规造成的事故伤害，由责任人自己负责;</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十、上下班途中，因本人负主要责任造成的交通事故，由责任人自己负责;</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十一、上下班途中，因本人故意犯罪、醉酒、吸毒、自残、自杀的，所发生的事故伤害，一切由责任人自己负责</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备班人员制度</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服从工作安排，认真学习业务技术，努力具备专多能的工作能力。</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val="en-US" w:eastAsia="zh-CN"/>
        </w:rPr>
        <w:t>二、</w:t>
      </w:r>
      <w:r>
        <w:rPr>
          <w:rFonts w:hint="eastAsia" w:ascii="宋体" w:hAnsi="宋体"/>
          <w:sz w:val="24"/>
          <w:lang w:eastAsia="zh-CN"/>
        </w:rPr>
        <w:t>熟悉理解有关工作规章制度、每天必须按规定到站报道，24 小时内随时准备顶班上岗，不替班时，服从站部临时分配的工作任务保证圆满完成。</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三、替班顶岗工作时，按顶班工种岗位职责做好本职工作，安排顶班缺勤时，按站部有关规定处理。</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四、临时替班顶岗人员，必须随喊随到，不得以任何借口推脱，否则，按不服从生产指挥处理。</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对讲机管理规定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使用:对讲机使用采用定人定机，对口交接的使用办法，各运转班调车员，使用编号为 1的对讲机及电池，头勾使用编号为2的对讲机及电池，二勾使用编号为 3 的对讲机及电池，三勾使用编号为 4 的对讲机及电池，交接时，接班站调应在接班后 15 分钟内认真检查所用对讲机外观是否变形，配件有无丢失，各项功能是否有效，如发现问题及时通知安全运输科,作出鉴定，认定责任。</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手信号灯使用管理规定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晚班接班后，由电务值班人员发放电简式手信号灯六，调车组六盏、机务检查车用一盏、外勤货运员检查车用一盏。由站调按使用人员分发到人，各自保管、使用。</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2、下班后，由站调逐一收回，统一交电务班，及时充电。若发现有故障灯，必须说明故障原因，以便修复。</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3、电务值班人员在发放前要认真检查信号灯电源是否充足，灯况是否正常完好，以保证晚班作业人员的正常使用。</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4、丢失电筒式信号灯赔款 150 元，手提式信号灯50 元。</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学习考试制度</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一、学习内容:</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1、以《铁路技术管理规程》为准，以《站细》为依据。</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2、一般铁路职工通用安全生产常识，特殊工种的特殊安全生产规定。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3、本工种的岗位职责，操作规程，作业程序，注意事项。</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4、劳动纪律的规定、学习方法:以自学为主，集体组织辅导为辅，必要时提供复习提纲。</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三、考试次数、时间:</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1、各工种每年至少考试两次;</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2、具体时间由安全运输科、技术设备科根据工作布置研究决定;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四、考试办法:</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1、实行百分制普考法，理论考试采用闭卷考试的形式;</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2、实践考试对违规、违章扣分为重点，技术要领操作水平相结合的办法。</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3、实践考试按实践考试扣分标准进行评分;4、理论与实践相结合，理论占 40%，实践占 60%。</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五、有关规定: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1、考试的成绩由站安全科存档，作为转正、定级升级、晋职的依据</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2、严格考试制度，做好监考、评分工作。</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3、考试成绩不满 60 分，不及格者不得上岗，实行下岗学习的制度，补考成绩合格后方可复工。</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4、下岗学习期间的福利待遇按站有关规定办理</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5、任何人不得以任何借口为理由，不参加或拒绝考试，违反者下岗检查反省，端正态度，下岗检查期间的待遇按站有关规定办理</w:t>
      </w:r>
    </w:p>
    <w:p>
      <w:pPr>
        <w:adjustRightInd w:val="0"/>
        <w:snapToGrid w:val="0"/>
        <w:spacing w:line="360" w:lineRule="auto"/>
        <w:ind w:firstLine="480" w:firstLineChars="200"/>
        <w:jc w:val="both"/>
        <w:rPr>
          <w:rFonts w:hint="eastAsia" w:ascii="宋体" w:hAnsi="宋体"/>
          <w:sz w:val="24"/>
          <w:lang w:eastAsia="zh-CN"/>
        </w:rPr>
      </w:pP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生产作业时严禁拨打和接听手机规定目前，持有手机的员工很多，生产作业时拨打和接听手机的现象非常普遍。特别是操作员工，一边拨打和接听手机，一边操作机械设备，给生产带来严重安全隐患。为了杜绝此类不良现象发生，特作如下规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1、下列工种的员工在生产作业时，严禁拨打和接听手机:</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火车司机、调车作业人员、船舶驾驶员、水手、车床操作工、汽车司机、电动机械司机、流动机械司机、高空作业人员等。</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凡违反本规定发现一次罚款 200 元，造成事故的加倍处罚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第174条大雪冰冻寒冷气候期间生产安全工作管理措施</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1、安运科、技术科管理人员、大班主任，负责对公司所属的设备设施、重点岗位、场所进行安全巡查、督查、隐患排查，发现问题及时整改，对调车人员作业全程安全监护。</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2、电维班用草绳、草垫、麻袋对机车梯子、脚蹬、脚踏板采取防冻防滑措，并经常进行检查是否牢固、达标，保证作业人员上下车安全使用良好。</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3、调车作业人员要按规定着装，穿戴好劳动保护用品，严禁在棚车顶上站立、行走，雪天冰冻时作业必须穿好草鞋，严禁飞上飞下，做到停上停下，作业中按规定挂好安全带，做好自我防护，确保人身安全。</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4、外勤货运员在检查车辆篷布毡盖，货物装载现状时，严禁跳越车辆或在车帮车边上行走，查看时必须站稳抓牢。</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5、电维班要每天给备用机车、发电机组打温一次，</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机车乘务员对运用机车停车两小时以上必须检查水温按规定进行打温。</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6、调车作业遇大风雪、大雾不良气候，能见度低安全距离不够，危及行车安全应停止作业。调车组在站场作业要确认信号，并协助确认尖轨是否密贴，进各专场作业要确认信号，并协助确认尖轨是否密贴，进各专线一度停车，确认进路道岔。(由于冰冻道岔锁都只是挂在上面，存在安全隐患)</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7、遇大雪、冰冻天气时，信号维修工必须 24 小时对道岔进行清扫，除雪除冰，保证信号、道岔运用正常信号员在操作道岔时，由于冰雪使道岔不密贴，控制台上有“挤岔”提示时，必须马上复位，并通知信号维修工进行抢修，以免损坏电动转辙机。</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8、遇冰冻、霜雪气候不良时，凡有摩托车的员工不要骑乘摩托车上下班，以免发生交通事故，造成人身伤害。</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9、技术设备科要按冬季防寒、防滑、防霜冻工作预案，备足专用物料，值班人员，遇冰雪天气时还应安排人员值班扫雪除冰。各科室、班组一定要按照冬季生产安全管理措施执行，确保调车作业人员、室外作业人员的人身安全及设备设施的正常使用，防止各类安全生产事故发生。</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劳动纪律六条</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val="en-US" w:eastAsia="zh-CN"/>
        </w:rPr>
        <w:t>一</w:t>
      </w:r>
      <w:r>
        <w:rPr>
          <w:rFonts w:hint="eastAsia" w:ascii="宋体" w:hAnsi="宋体"/>
          <w:sz w:val="24"/>
          <w:lang w:eastAsia="zh-CN"/>
        </w:rPr>
        <w:t>、严格遵守劳动纪律，有事、病须缺勤时，应提前4小时办理好请假手续，且事假需提前一天请示，不准迟到、早退、擅离岗位。</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val="en-US" w:eastAsia="zh-CN"/>
        </w:rPr>
        <w:t>二</w:t>
      </w:r>
      <w:r>
        <w:rPr>
          <w:rFonts w:hint="eastAsia" w:ascii="宋体" w:hAnsi="宋体"/>
          <w:sz w:val="24"/>
          <w:lang w:eastAsia="zh-CN"/>
        </w:rPr>
        <w:t>、当班前要充分休息，班中禁止饮酒，班前六小时不准喝酒，当班干活禁止在休息室睡觉、闲聊、干其它事情</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val="en-US" w:eastAsia="zh-CN"/>
        </w:rPr>
        <w:t>三、</w:t>
      </w:r>
      <w:r>
        <w:rPr>
          <w:rFonts w:hint="eastAsia" w:ascii="宋体" w:hAnsi="宋体"/>
          <w:sz w:val="24"/>
          <w:lang w:eastAsia="zh-CN"/>
        </w:rPr>
        <w:t>当班要思想集中，不准做私活、带小孩、打牌赌博。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四、工作时要严肃认真，不准在调车场地、道口房、站调室、休息室，机车上乱动设备、工具备品，不准损坏公物，否则照价赔偿。</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五、工作时间内，应着工装，并穿戴防护用品，不准穿红绿服装，不准穿朔料底鞋、拖鞋、高根鞋、调车作业人员穿皮鞋进行作业。</w:t>
      </w:r>
    </w:p>
    <w:p>
      <w:pPr>
        <w:adjustRightInd w:val="0"/>
        <w:snapToGrid w:val="0"/>
        <w:spacing w:line="360" w:lineRule="auto"/>
        <w:ind w:firstLine="480" w:firstLineChars="200"/>
        <w:jc w:val="both"/>
        <w:rPr>
          <w:rFonts w:hint="eastAsia" w:ascii="宋体" w:hAnsi="宋体"/>
          <w:sz w:val="24"/>
          <w:lang w:eastAsia="zh-CN"/>
        </w:rPr>
      </w:pPr>
      <w:r>
        <w:rPr>
          <w:rFonts w:hint="eastAsia" w:ascii="宋体" w:hAnsi="宋体"/>
          <w:sz w:val="24"/>
          <w:lang w:eastAsia="zh-CN"/>
        </w:rPr>
        <w:t>六、严格执行站部命令，服从领导，维护班组长工作，做到一起行动听指挥。</w:t>
      </w:r>
    </w:p>
    <w:p>
      <w:pPr>
        <w:adjustRightInd w:val="0"/>
        <w:snapToGrid w:val="0"/>
        <w:spacing w:line="360" w:lineRule="auto"/>
        <w:ind w:firstLine="480" w:firstLineChars="200"/>
        <w:jc w:val="both"/>
        <w:rPr>
          <w:rFonts w:hint="eastAsia" w:ascii="宋体" w:hAnsi="宋体"/>
          <w:sz w:val="24"/>
          <w:lang w:val="en-US" w:eastAsia="zh-CN"/>
        </w:rPr>
      </w:pPr>
    </w:p>
    <w:p>
      <w:pPr>
        <w:pStyle w:val="2"/>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2"/>
        <w:rPr>
          <w:rFonts w:ascii="黑体" w:hAnsi="黑体" w:eastAsia="黑体" w:cs="仿宋"/>
          <w:b/>
          <w:sz w:val="36"/>
          <w:szCs w:val="36"/>
        </w:rPr>
      </w:pPr>
    </w:p>
    <w:p>
      <w:pPr>
        <w:pStyle w:val="3"/>
      </w:pPr>
    </w:p>
    <w:p>
      <w:pPr>
        <w:rPr>
          <w:rFonts w:ascii="黑体" w:hAnsi="黑体" w:eastAsia="黑体" w:cs="仿宋"/>
          <w:b/>
          <w:sz w:val="36"/>
          <w:szCs w:val="36"/>
        </w:rPr>
      </w:pPr>
      <w:bookmarkStart w:id="27" w:name="_Toc7998"/>
      <w:bookmarkStart w:id="28" w:name="_Toc14815"/>
    </w:p>
    <w:p>
      <w:pPr>
        <w:spacing w:line="600" w:lineRule="exact"/>
        <w:jc w:val="center"/>
        <w:outlineLvl w:val="0"/>
        <w:rPr>
          <w:rFonts w:ascii="黑体" w:hAnsi="黑体" w:eastAsia="黑体" w:cs="仿宋"/>
          <w:b/>
          <w:sz w:val="36"/>
          <w:szCs w:val="36"/>
        </w:rPr>
      </w:pPr>
      <w:r>
        <w:rPr>
          <w:rFonts w:hint="eastAsia" w:ascii="黑体" w:hAnsi="黑体" w:eastAsia="黑体" w:cs="仿宋"/>
          <w:b/>
          <w:sz w:val="36"/>
          <w:szCs w:val="36"/>
        </w:rPr>
        <w:t>第五章  采购需求</w:t>
      </w:r>
      <w:bookmarkEnd w:id="27"/>
      <w:bookmarkEnd w:id="28"/>
    </w:p>
    <w:p>
      <w:pPr>
        <w:adjustRightInd w:val="0"/>
        <w:snapToGrid w:val="0"/>
        <w:spacing w:line="312" w:lineRule="auto"/>
        <w:ind w:firstLine="480" w:firstLineChars="200"/>
        <w:rPr>
          <w:rFonts w:ascii="宋体" w:hAnsi="宋体"/>
          <w:sz w:val="24"/>
        </w:rPr>
      </w:pPr>
    </w:p>
    <w:p>
      <w:pPr>
        <w:numPr>
          <w:ilvl w:val="0"/>
          <w:numId w:val="0"/>
        </w:numPr>
        <w:autoSpaceDE w:val="0"/>
        <w:spacing w:line="400" w:lineRule="exact"/>
        <w:jc w:val="both"/>
        <w:rPr>
          <w:rFonts w:hint="eastAsia" w:ascii="宋体" w:hAnsi="宋体" w:eastAsia="宋体" w:cs="宋体"/>
          <w:color w:val="auto"/>
          <w:sz w:val="24"/>
          <w:szCs w:val="24"/>
          <w:highlight w:val="none"/>
        </w:rPr>
      </w:pPr>
      <w:r>
        <w:rPr>
          <w:rFonts w:hint="eastAsia" w:ascii="宋体" w:hAnsi="宋体"/>
          <w:sz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（一） </w:t>
      </w:r>
      <w:r>
        <w:rPr>
          <w:rFonts w:hint="eastAsia" w:ascii="宋体" w:hAnsi="宋体" w:eastAsia="宋体" w:cs="宋体"/>
          <w:color w:val="auto"/>
          <w:sz w:val="24"/>
          <w:szCs w:val="24"/>
          <w:highlight w:val="none"/>
        </w:rPr>
        <w:t>采购项目名称</w:t>
      </w:r>
    </w:p>
    <w:p>
      <w:pPr>
        <w:numPr>
          <w:ilvl w:val="0"/>
          <w:numId w:val="0"/>
        </w:numPr>
        <w:autoSpaceDE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岳阳城陵矶港务有限责任公司</w:t>
      </w:r>
      <w:r>
        <w:rPr>
          <w:rFonts w:hint="eastAsia" w:ascii="宋体" w:hAnsi="宋体" w:eastAsia="宋体" w:cs="宋体"/>
          <w:sz w:val="24"/>
          <w:szCs w:val="24"/>
          <w:lang w:val="en-US" w:eastAsia="zh-CN"/>
        </w:rPr>
        <w:t>2023年</w:t>
      </w:r>
      <w:r>
        <w:rPr>
          <w:rFonts w:hint="eastAsia" w:ascii="宋体" w:hAnsi="宋体" w:cs="宋体"/>
          <w:sz w:val="24"/>
          <w:szCs w:val="24"/>
          <w:lang w:val="en-US" w:eastAsia="zh-CN"/>
        </w:rPr>
        <w:t>铁运公司连接员</w:t>
      </w:r>
      <w:r>
        <w:rPr>
          <w:rFonts w:hint="eastAsia" w:ascii="宋体" w:hAnsi="宋体" w:eastAsia="宋体" w:cs="宋体"/>
          <w:sz w:val="24"/>
          <w:szCs w:val="24"/>
          <w:lang w:val="en-US" w:eastAsia="zh-CN"/>
        </w:rPr>
        <w:t>劳务外包</w:t>
      </w:r>
      <w:r>
        <w:rPr>
          <w:rFonts w:hint="eastAsia" w:ascii="宋体" w:hAnsi="宋体" w:eastAsia="宋体" w:cs="宋体"/>
          <w:sz w:val="24"/>
          <w:szCs w:val="24"/>
        </w:rPr>
        <w:t>服务</w:t>
      </w:r>
    </w:p>
    <w:p>
      <w:pPr>
        <w:adjustRightInd w:val="0"/>
        <w:snapToGrid w:val="0"/>
        <w:spacing w:line="312" w:lineRule="auto"/>
        <w:ind w:firstLine="480" w:firstLineChars="200"/>
        <w:rPr>
          <w:rFonts w:hint="eastAsia" w:ascii="宋体" w:hAnsi="宋体" w:eastAsia="宋体" w:cs="宋体"/>
          <w:color w:val="auto"/>
          <w:sz w:val="24"/>
          <w:szCs w:val="24"/>
          <w:highlight w:val="none"/>
        </w:rPr>
      </w:pPr>
    </w:p>
    <w:p>
      <w:pPr>
        <w:numPr>
          <w:ilvl w:val="0"/>
          <w:numId w:val="5"/>
        </w:num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adjustRightInd w:val="0"/>
        <w:snapToGrid w:val="0"/>
        <w:spacing w:line="360" w:lineRule="auto"/>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sz w:val="24"/>
          <w:highlight w:val="none"/>
        </w:rPr>
        <w:t>岳阳城陵矶港务有限责任公司为湖南省港务集团有限公司旗下全资子公司</w:t>
      </w:r>
      <w:r>
        <w:rPr>
          <w:rFonts w:hint="eastAsia" w:ascii="宋体" w:hAnsi="宋体" w:cs="宋体"/>
          <w:color w:val="333333"/>
          <w:sz w:val="24"/>
          <w:highlight w:val="none"/>
          <w:shd w:val="clear" w:color="auto" w:fill="FFFFFF"/>
        </w:rPr>
        <w:t>，</w:t>
      </w:r>
      <w:r>
        <w:rPr>
          <w:rFonts w:hint="eastAsia" w:ascii="宋体" w:hAnsi="宋体" w:cs="宋体"/>
          <w:sz w:val="24"/>
          <w:highlight w:val="none"/>
        </w:rPr>
        <w:t>主要从事铁矿石、钢材、冷热轧卷、各类包装货、粮食、煤炭、设备等各类内外贸大宗货物的装卸、储存、中转等物流服务。</w:t>
      </w:r>
      <w:r>
        <w:rPr>
          <w:rFonts w:hint="eastAsia" w:ascii="宋体" w:hAnsi="宋体" w:cs="宋体"/>
          <w:sz w:val="24"/>
          <w:highlight w:val="yellow"/>
        </w:rPr>
        <w:t>近年来随着公司发展，港口实现了功能分区，分为老港干散货作业区和新港件杂货作业区。</w:t>
      </w:r>
      <w:r>
        <w:rPr>
          <w:rFonts w:hint="eastAsia" w:ascii="Arial" w:hAnsi="Arial" w:cs="Arial"/>
          <w:color w:val="191919"/>
          <w:sz w:val="24"/>
          <w:highlight w:val="yellow"/>
          <w:shd w:val="clear" w:color="auto" w:fill="FFFFFF"/>
          <w:lang w:val="en-US" w:eastAsia="zh-CN"/>
        </w:rPr>
        <w:t>11码头为干散货作业区一部分，包含浮吊2台、皮带机系统1套、堆高机1台。</w:t>
      </w:r>
    </w:p>
    <w:p>
      <w:pPr>
        <w:numPr>
          <w:ilvl w:val="0"/>
          <w:numId w:val="5"/>
        </w:numPr>
        <w:autoSpaceDE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w:t>
      </w:r>
      <w:r>
        <w:rPr>
          <w:rFonts w:hint="eastAsia" w:ascii="宋体" w:hAnsi="宋体"/>
          <w:sz w:val="24"/>
          <w:highlight w:val="yellow"/>
        </w:rPr>
        <w:t>城陵矶老港干散货港区</w:t>
      </w:r>
      <w:r>
        <w:rPr>
          <w:rFonts w:hint="eastAsia" w:ascii="宋体" w:hAnsi="宋体"/>
          <w:sz w:val="24"/>
          <w:highlight w:val="yellow"/>
          <w:lang w:val="en-US" w:eastAsia="zh-CN"/>
        </w:rPr>
        <w:t>11码头浮吊2台、皮带机1台、堆高机1台的机械操作、日常点检</w:t>
      </w:r>
      <w:r>
        <w:rPr>
          <w:rFonts w:hint="eastAsia" w:ascii="宋体" w:hAnsi="宋体" w:eastAsia="宋体" w:cs="宋体"/>
          <w:color w:val="auto"/>
          <w:sz w:val="24"/>
          <w:szCs w:val="24"/>
          <w:highlight w:val="yellow"/>
        </w:rPr>
        <w:t>任务</w:t>
      </w:r>
      <w:r>
        <w:rPr>
          <w:rFonts w:hint="eastAsia" w:ascii="宋体" w:hAnsi="宋体" w:cs="宋体"/>
          <w:color w:val="auto"/>
          <w:sz w:val="24"/>
          <w:szCs w:val="24"/>
          <w:highlight w:val="yellow"/>
          <w:lang w:val="en-US" w:eastAsia="zh-CN"/>
        </w:rPr>
        <w:t>等</w:t>
      </w:r>
      <w:r>
        <w:rPr>
          <w:rFonts w:hint="eastAsia" w:ascii="宋体" w:hAnsi="宋体" w:eastAsia="宋体" w:cs="宋体"/>
          <w:color w:val="auto"/>
          <w:sz w:val="24"/>
          <w:szCs w:val="24"/>
          <w:highlight w:val="none"/>
        </w:rPr>
        <w:t>，需满足</w:t>
      </w:r>
      <w:r>
        <w:rPr>
          <w:rFonts w:hint="eastAsia" w:ascii="宋体" w:hAnsi="宋体" w:cs="宋体"/>
          <w:color w:val="auto"/>
          <w:sz w:val="24"/>
          <w:szCs w:val="24"/>
          <w:highlight w:val="none"/>
          <w:lang w:val="en-US" w:eastAsia="zh-CN"/>
        </w:rPr>
        <w:t>持相应特殊机械操作许可证</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符合相关规范和要求。</w:t>
      </w:r>
    </w:p>
    <w:p>
      <w:pPr>
        <w:numPr>
          <w:ilvl w:val="0"/>
          <w:numId w:val="5"/>
        </w:numPr>
        <w:autoSpaceDE w:val="0"/>
        <w:spacing w:line="400" w:lineRule="exact"/>
        <w:ind w:left="0" w:leftChars="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服务期限: 合同签订日起</w:t>
      </w:r>
      <w:r>
        <w:rPr>
          <w:rFonts w:hint="eastAsia" w:ascii="宋体" w:hAnsi="宋体" w:cs="宋体"/>
          <w:color w:val="auto"/>
          <w:sz w:val="24"/>
          <w:szCs w:val="24"/>
          <w:lang w:val="en-US" w:eastAsia="zh-CN"/>
        </w:rPr>
        <w:t>至一年</w:t>
      </w:r>
      <w:r>
        <w:rPr>
          <w:rFonts w:hint="eastAsia" w:ascii="宋体" w:hAnsi="宋体" w:eastAsia="宋体" w:cs="宋体"/>
          <w:color w:val="auto"/>
          <w:sz w:val="24"/>
          <w:szCs w:val="24"/>
        </w:rPr>
        <w:t>。</w:t>
      </w:r>
    </w:p>
    <w:p>
      <w:pPr>
        <w:numPr>
          <w:ilvl w:val="0"/>
          <w:numId w:val="5"/>
        </w:numPr>
        <w:autoSpaceDE w:val="0"/>
        <w:spacing w:line="400" w:lineRule="exact"/>
        <w:ind w:left="0" w:leftChars="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服务地点：岳阳城陵矶港务有限责任公司</w:t>
      </w:r>
    </w:p>
    <w:p>
      <w:pPr>
        <w:pStyle w:val="2"/>
        <w:rPr>
          <w:rFonts w:hint="eastAsia" w:ascii="宋体" w:hAnsi="宋体" w:eastAsia="宋体" w:cs="宋体"/>
          <w:color w:val="auto"/>
          <w:sz w:val="24"/>
          <w:szCs w:val="24"/>
          <w:highlight w:val="none"/>
        </w:rPr>
      </w:pPr>
    </w:p>
    <w:p>
      <w:pPr>
        <w:spacing w:line="312" w:lineRule="auto"/>
        <w:ind w:firstLine="723" w:firstLineChars="200"/>
        <w:jc w:val="center"/>
        <w:rPr>
          <w:rFonts w:ascii="黑体" w:hAnsi="黑体" w:eastAsia="黑体" w:cs="仿宋"/>
          <w:b/>
          <w:sz w:val="36"/>
          <w:szCs w:val="36"/>
        </w:rPr>
      </w:pPr>
    </w:p>
    <w:p>
      <w:pPr>
        <w:pStyle w:val="2"/>
        <w:rPr>
          <w:rFonts w:ascii="黑体" w:hAnsi="黑体" w:eastAsia="黑体" w:cs="仿宋"/>
          <w:b/>
          <w:sz w:val="36"/>
          <w:szCs w:val="36"/>
        </w:rPr>
      </w:pPr>
    </w:p>
    <w:p>
      <w:pPr>
        <w:pStyle w:val="3"/>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spacing w:line="312" w:lineRule="auto"/>
        <w:ind w:firstLine="723" w:firstLineChars="200"/>
        <w:jc w:val="center"/>
        <w:outlineLvl w:val="0"/>
        <w:rPr>
          <w:rFonts w:ascii="黑体" w:hAnsi="黑体" w:eastAsia="黑体" w:cs="仿宋"/>
          <w:b/>
          <w:sz w:val="36"/>
          <w:szCs w:val="36"/>
        </w:rPr>
      </w:pPr>
      <w:bookmarkStart w:id="29" w:name="_Toc23833"/>
      <w:bookmarkStart w:id="30" w:name="_Toc3583"/>
      <w:r>
        <w:rPr>
          <w:rFonts w:hint="eastAsia" w:ascii="黑体" w:hAnsi="黑体" w:eastAsia="黑体" w:cs="仿宋"/>
          <w:b/>
          <w:sz w:val="36"/>
          <w:szCs w:val="36"/>
        </w:rPr>
        <w:t>第六章  响应文件格式</w:t>
      </w:r>
      <w:bookmarkEnd w:id="29"/>
      <w:bookmarkEnd w:id="30"/>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pacing w:line="640" w:lineRule="exact"/>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31" w:name="_Toc8744"/>
      <w:bookmarkStart w:id="32" w:name="_Toc27344"/>
      <w:r>
        <w:rPr>
          <w:rFonts w:hint="eastAsia" w:eastAsia="方正小标宋_GBK"/>
          <w:b/>
          <w:bCs/>
          <w:sz w:val="40"/>
          <w:szCs w:val="36"/>
        </w:rPr>
        <w:t>项目</w:t>
      </w:r>
      <w:bookmarkEnd w:id="31"/>
      <w:bookmarkEnd w:id="32"/>
    </w:p>
    <w:p>
      <w:pPr>
        <w:widowControl w:val="0"/>
        <w:spacing w:before="240" w:beforeLines="100" w:after="240" w:afterLines="100" w:line="240" w:lineRule="auto"/>
        <w:jc w:val="center"/>
        <w:outlineLvl w:val="0"/>
        <w:rPr>
          <w:rFonts w:eastAsia="楷体_GB2312"/>
          <w:b/>
          <w:bCs/>
          <w:sz w:val="28"/>
          <w:szCs w:val="28"/>
        </w:rPr>
      </w:pPr>
      <w:bookmarkStart w:id="33" w:name="_Toc18375"/>
      <w:bookmarkStart w:id="34" w:name="_Toc24196"/>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3"/>
      <w:bookmarkEnd w:id="34"/>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5" w:name="_Toc19130"/>
      <w:bookmarkStart w:id="36" w:name="_Toc32664"/>
      <w:r>
        <w:rPr>
          <w:rFonts w:hint="eastAsia" w:eastAsia="方正小标宋_GBK"/>
          <w:b/>
          <w:bCs/>
          <w:spacing w:val="160"/>
          <w:sz w:val="72"/>
          <w:szCs w:val="72"/>
        </w:rPr>
        <w:t>响应</w:t>
      </w:r>
      <w:r>
        <w:rPr>
          <w:rFonts w:eastAsia="方正小标宋_GBK"/>
          <w:b/>
          <w:bCs/>
          <w:spacing w:val="160"/>
          <w:sz w:val="72"/>
          <w:szCs w:val="72"/>
        </w:rPr>
        <w:t>文件</w:t>
      </w:r>
      <w:bookmarkEnd w:id="35"/>
      <w:bookmarkEnd w:id="36"/>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u w:val="single"/>
        </w:rPr>
      </w:pPr>
      <w:bookmarkStart w:id="37" w:name="_Toc12233"/>
      <w:bookmarkStart w:id="38" w:name="_Toc6103"/>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7"/>
      <w:bookmarkEnd w:id="38"/>
      <w:r>
        <w:rPr>
          <w:rFonts w:eastAsia="黑体"/>
          <w:bCs/>
          <w:sz w:val="30"/>
          <w:szCs w:val="30"/>
          <w:u w:val="single"/>
        </w:rPr>
        <w:t xml:space="preserve"> </w:t>
      </w:r>
    </w:p>
    <w:p>
      <w:pPr>
        <w:spacing w:line="900" w:lineRule="exact"/>
        <w:jc w:val="center"/>
        <w:outlineLvl w:val="0"/>
        <w:rPr>
          <w:rFonts w:eastAsia="黑体"/>
          <w:sz w:val="30"/>
          <w:szCs w:val="30"/>
        </w:rPr>
      </w:pPr>
      <w:bookmarkStart w:id="39" w:name="_Toc8918"/>
      <w:bookmarkStart w:id="40" w:name="_Toc17559"/>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9"/>
      <w:bookmarkEnd w:id="40"/>
    </w:p>
    <w:p>
      <w:pPr>
        <w:adjustRightInd w:val="0"/>
        <w:snapToGrid w:val="0"/>
        <w:spacing w:line="600" w:lineRule="exact"/>
        <w:jc w:val="center"/>
        <w:outlineLvl w:val="0"/>
        <w:rPr>
          <w:rFonts w:hint="eastAsia" w:ascii="黑体" w:hAnsi="黑体" w:eastAsia="黑体" w:cs="仿宋"/>
          <w:sz w:val="36"/>
          <w:szCs w:val="36"/>
        </w:rPr>
      </w:pPr>
      <w:bookmarkStart w:id="41" w:name="_Toc20786"/>
      <w:bookmarkStart w:id="42" w:name="_Toc29715"/>
    </w:p>
    <w:p>
      <w:pPr>
        <w:adjustRightInd w:val="0"/>
        <w:snapToGrid w:val="0"/>
        <w:spacing w:line="600" w:lineRule="exact"/>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41"/>
      <w:bookmarkEnd w:id="42"/>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43" w:name="_Toc17794"/>
      <w:bookmarkStart w:id="44" w:name="_Toc8542"/>
      <w:r>
        <w:rPr>
          <w:rFonts w:hint="eastAsia" w:ascii="宋体" w:hAnsi="宋体" w:cs="仿宋"/>
          <w:sz w:val="24"/>
        </w:rPr>
        <w:t>一、响应函</w:t>
      </w:r>
      <w:bookmarkEnd w:id="43"/>
      <w:bookmarkEnd w:id="44"/>
    </w:p>
    <w:p>
      <w:pPr>
        <w:adjustRightInd w:val="0"/>
        <w:snapToGrid w:val="0"/>
        <w:spacing w:line="600" w:lineRule="exact"/>
        <w:jc w:val="both"/>
        <w:outlineLvl w:val="0"/>
        <w:rPr>
          <w:rFonts w:ascii="宋体" w:hAnsi="宋体" w:cs="仿宋"/>
          <w:sz w:val="24"/>
        </w:rPr>
      </w:pPr>
      <w:bookmarkStart w:id="45" w:name="_Toc26783"/>
      <w:bookmarkStart w:id="46" w:name="_Toc3946"/>
      <w:r>
        <w:rPr>
          <w:rFonts w:hint="eastAsia" w:ascii="宋体" w:hAnsi="宋体" w:cs="仿宋"/>
          <w:sz w:val="24"/>
        </w:rPr>
        <w:t>二、授权委托书(适用于有委托代理人的情况)</w:t>
      </w:r>
      <w:bookmarkEnd w:id="45"/>
      <w:bookmarkEnd w:id="46"/>
    </w:p>
    <w:p>
      <w:pPr>
        <w:adjustRightInd w:val="0"/>
        <w:snapToGrid w:val="0"/>
        <w:spacing w:line="600" w:lineRule="exact"/>
        <w:jc w:val="both"/>
        <w:outlineLvl w:val="0"/>
        <w:rPr>
          <w:rFonts w:ascii="宋体" w:hAnsi="宋体" w:cs="仿宋"/>
          <w:sz w:val="24"/>
        </w:rPr>
      </w:pPr>
      <w:bookmarkStart w:id="47" w:name="_Toc31579"/>
      <w:bookmarkStart w:id="48" w:name="_Toc28758"/>
      <w:r>
        <w:rPr>
          <w:rFonts w:hint="eastAsia" w:ascii="宋体" w:hAnsi="宋体" w:cs="仿宋"/>
          <w:sz w:val="24"/>
        </w:rPr>
        <w:t>三、商务和技术偏差表</w:t>
      </w:r>
      <w:bookmarkEnd w:id="47"/>
      <w:bookmarkEnd w:id="48"/>
    </w:p>
    <w:p>
      <w:pPr>
        <w:adjustRightInd w:val="0"/>
        <w:snapToGrid w:val="0"/>
        <w:spacing w:line="600" w:lineRule="exact"/>
        <w:jc w:val="both"/>
        <w:outlineLvl w:val="0"/>
        <w:rPr>
          <w:rFonts w:ascii="宋体" w:hAnsi="宋体" w:cs="仿宋"/>
          <w:sz w:val="24"/>
        </w:rPr>
      </w:pPr>
      <w:bookmarkStart w:id="49" w:name="_Toc14383"/>
      <w:bookmarkStart w:id="50" w:name="_Toc12688"/>
      <w:r>
        <w:rPr>
          <w:rFonts w:hint="eastAsia" w:ascii="宋体" w:hAnsi="宋体" w:cs="仿宋"/>
          <w:sz w:val="24"/>
        </w:rPr>
        <w:t>四、资格审查资料</w:t>
      </w:r>
      <w:bookmarkEnd w:id="49"/>
      <w:bookmarkEnd w:id="50"/>
    </w:p>
    <w:p>
      <w:pPr>
        <w:adjustRightInd w:val="0"/>
        <w:snapToGrid w:val="0"/>
        <w:spacing w:line="600" w:lineRule="exact"/>
        <w:jc w:val="both"/>
        <w:outlineLvl w:val="0"/>
        <w:rPr>
          <w:rFonts w:ascii="宋体" w:hAnsi="宋体" w:cs="仿宋"/>
          <w:sz w:val="24"/>
        </w:rPr>
      </w:pPr>
      <w:bookmarkStart w:id="51" w:name="_Toc26309"/>
      <w:bookmarkStart w:id="52" w:name="_Toc13827"/>
      <w:r>
        <w:rPr>
          <w:rFonts w:hint="eastAsia" w:ascii="宋体" w:hAnsi="宋体" w:cs="仿宋"/>
          <w:sz w:val="24"/>
        </w:rPr>
        <w:t>五、响应方案</w:t>
      </w:r>
      <w:bookmarkEnd w:id="51"/>
      <w:bookmarkEnd w:id="52"/>
    </w:p>
    <w:p>
      <w:pPr>
        <w:adjustRightInd w:val="0"/>
        <w:snapToGrid w:val="0"/>
        <w:spacing w:line="600" w:lineRule="exact"/>
        <w:jc w:val="both"/>
        <w:outlineLvl w:val="0"/>
        <w:rPr>
          <w:rFonts w:ascii="宋体" w:hAnsi="宋体" w:cs="仿宋"/>
          <w:sz w:val="24"/>
        </w:rPr>
      </w:pPr>
      <w:bookmarkStart w:id="53" w:name="_Toc28560"/>
      <w:bookmarkStart w:id="54" w:name="_Toc5712"/>
      <w:r>
        <w:rPr>
          <w:rFonts w:hint="eastAsia" w:ascii="宋体" w:hAnsi="宋体" w:cs="仿宋"/>
          <w:sz w:val="24"/>
        </w:rPr>
        <w:t>六、其他资料</w:t>
      </w:r>
      <w:bookmarkEnd w:id="53"/>
      <w:bookmarkEnd w:id="54"/>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6"/>
        </w:numPr>
        <w:adjustRightInd w:val="0"/>
        <w:snapToGrid w:val="0"/>
        <w:spacing w:line="600" w:lineRule="exact"/>
        <w:jc w:val="center"/>
        <w:outlineLvl w:val="0"/>
        <w:rPr>
          <w:rFonts w:ascii="黑体" w:hAnsi="黑体" w:eastAsia="黑体" w:cs="仿宋"/>
          <w:sz w:val="36"/>
          <w:szCs w:val="36"/>
        </w:rPr>
      </w:pPr>
      <w:bookmarkStart w:id="55" w:name="_Toc28902"/>
      <w:bookmarkStart w:id="56" w:name="_Toc30334"/>
      <w:r>
        <w:rPr>
          <w:rFonts w:hint="eastAsia" w:ascii="黑体" w:hAnsi="黑体" w:eastAsia="黑体" w:cs="仿宋"/>
          <w:sz w:val="36"/>
          <w:szCs w:val="36"/>
        </w:rPr>
        <w:t>响应函</w:t>
      </w:r>
      <w:bookmarkEnd w:id="55"/>
      <w:bookmarkEnd w:id="56"/>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numPr>
          <w:ilvl w:val="0"/>
          <w:numId w:val="7"/>
        </w:num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我方已仔细研究了</w:t>
      </w:r>
      <w:r>
        <w:rPr>
          <w:rFonts w:hint="eastAsia" w:cs="仿宋" w:asciiTheme="minorEastAsia" w:hAnsiTheme="minorEastAsia" w:eastAsiaTheme="minorEastAsia"/>
          <w:sz w:val="24"/>
          <w:u w:val="single"/>
          <w:lang w:val="en-US" w:eastAsia="zh-CN"/>
        </w:rPr>
        <w:t xml:space="preserve">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)完成，并按合同约定履行义务。</w:t>
      </w:r>
    </w:p>
    <w:p>
      <w:pPr>
        <w:adjustRightInd w:val="0"/>
        <w:snapToGrid w:val="0"/>
        <w:spacing w:line="600" w:lineRule="exact"/>
        <w:rPr>
          <w:rFonts w:ascii="宋体" w:hAnsi="宋体"/>
          <w:sz w:val="24"/>
        </w:rPr>
      </w:pPr>
      <w:r>
        <w:rPr>
          <w:rFonts w:hint="eastAsia" w:cs="仿宋" w:asciiTheme="minorEastAsia" w:hAnsiTheme="minorEastAsia" w:eastAsiaTheme="minorEastAsia"/>
          <w:sz w:val="24"/>
        </w:rPr>
        <w:t>服务期限：</w:t>
      </w:r>
      <w:r>
        <w:rPr>
          <w:rFonts w:hint="eastAsia" w:ascii="宋体" w:hAnsi="宋体"/>
          <w:sz w:val="24"/>
        </w:rPr>
        <w:t>合同签订日起</w:t>
      </w:r>
      <w:r>
        <w:rPr>
          <w:rFonts w:hint="eastAsia" w:ascii="宋体" w:hAnsi="宋体"/>
          <w:sz w:val="24"/>
          <w:lang w:val="en-US" w:eastAsia="zh-CN"/>
        </w:rPr>
        <w:t>一年</w:t>
      </w:r>
      <w:r>
        <w:rPr>
          <w:rFonts w:hint="eastAsia" w:ascii="宋体" w:hAnsi="宋体"/>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8"/>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8"/>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附：守法诚信承诺书</w:t>
      </w:r>
    </w:p>
    <w:p>
      <w:pPr>
        <w:spacing w:line="360" w:lineRule="auto"/>
        <w:ind w:firstLine="480" w:firstLineChars="200"/>
        <w:jc w:val="both"/>
        <w:rPr>
          <w:rFonts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6、单位、法定代表人（单位负责人）、委托代理人（授权代表）无暂停或取消响应资格、骗取中标、行贿等不良记录以及其他违法犯罪记录；无围标串标、恶意投诉、买卖资质等违法违规行为。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10、供应商不得存在下列情形之一:</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（1）处于被责令停产停业、暂扣或者吊销执照、暂扣或者吊销许可证、吊销资质证书状态;</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（2）进入清算程序，或被宣告破产，或其他丧失履约能力的情形;</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（3）被采购人或采购人上级单位纳入黑名单</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57" w:name="_Toc8439"/>
      <w:bookmarkStart w:id="58" w:name="_Toc24926"/>
      <w:r>
        <w:rPr>
          <w:rFonts w:hint="eastAsia" w:ascii="黑体" w:hAnsi="黑体" w:eastAsia="黑体" w:cs="仿宋"/>
          <w:sz w:val="36"/>
          <w:szCs w:val="36"/>
        </w:rPr>
        <w:t>二、授权委托书</w:t>
      </w:r>
      <w:bookmarkEnd w:id="57"/>
      <w:bookmarkEnd w:id="58"/>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59" w:name="_Toc2054"/>
      <w:bookmarkStart w:id="60" w:name="_Toc24890"/>
      <w:r>
        <w:rPr>
          <w:rFonts w:hint="eastAsia" w:ascii="黑体" w:hAnsi="黑体" w:eastAsia="黑体" w:cs="仿宋"/>
          <w:sz w:val="36"/>
          <w:szCs w:val="36"/>
        </w:rPr>
        <w:t>三、商务和技术偏差表</w:t>
      </w:r>
      <w:bookmarkEnd w:id="59"/>
      <w:bookmarkEnd w:id="60"/>
    </w:p>
    <w:p>
      <w:pPr>
        <w:spacing w:line="600" w:lineRule="exact"/>
        <w:jc w:val="center"/>
        <w:rPr>
          <w:rFonts w:cs="仿宋" w:asciiTheme="minorEastAsia" w:hAnsiTheme="minorEastAsia" w:eastAsiaTheme="minorEastAsia"/>
          <w:sz w:val="24"/>
        </w:rPr>
      </w:pP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730"/>
        <w:gridCol w:w="300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730"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3009"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color w:val="auto"/>
          <w:sz w:val="36"/>
          <w:szCs w:val="36"/>
        </w:rPr>
      </w:pPr>
      <w:bookmarkStart w:id="61" w:name="_Toc24758"/>
      <w:bookmarkStart w:id="62" w:name="_Toc25816_WPSOffice_Level1"/>
      <w:bookmarkStart w:id="63" w:name="_Toc7655"/>
      <w:bookmarkStart w:id="64" w:name="_Toc1518"/>
      <w:r>
        <w:rPr>
          <w:rFonts w:hint="eastAsia" w:ascii="黑体" w:hAnsi="黑体" w:eastAsia="黑体" w:cs="仿宋"/>
          <w:color w:val="auto"/>
          <w:sz w:val="36"/>
          <w:szCs w:val="36"/>
          <w:lang w:val="en-US" w:eastAsia="zh-CN"/>
        </w:rPr>
        <w:t>四</w:t>
      </w:r>
      <w:r>
        <w:rPr>
          <w:rFonts w:hint="eastAsia" w:ascii="黑体" w:hAnsi="黑体" w:eastAsia="黑体" w:cs="仿宋"/>
          <w:color w:val="auto"/>
          <w:sz w:val="36"/>
          <w:szCs w:val="36"/>
        </w:rPr>
        <w:t>、资格审查资料</w:t>
      </w:r>
      <w:bookmarkEnd w:id="61"/>
      <w:bookmarkEnd w:id="62"/>
    </w:p>
    <w:p>
      <w:pPr>
        <w:spacing w:line="600" w:lineRule="exact"/>
        <w:jc w:val="center"/>
        <w:rPr>
          <w:rFonts w:ascii="黑体" w:hAnsi="黑体" w:eastAsia="黑体" w:cs="仿宋"/>
          <w:color w:val="auto"/>
          <w:sz w:val="36"/>
          <w:szCs w:val="36"/>
        </w:rPr>
      </w:pPr>
    </w:p>
    <w:p>
      <w:pPr>
        <w:spacing w:line="600" w:lineRule="exact"/>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（一）基本情况</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rPr>
        <w:t>供应商应根据供应商须知前附表第</w:t>
      </w:r>
      <w:r>
        <w:rPr>
          <w:rFonts w:hint="eastAsia" w:cs="仿宋" w:asciiTheme="minorEastAsia" w:hAnsiTheme="minorEastAsia" w:eastAsiaTheme="minorEastAsia"/>
          <w:color w:val="auto"/>
          <w:sz w:val="24"/>
          <w:highlight w:val="none"/>
        </w:rPr>
        <w:t>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供应商还应根据供应商须知前附表</w:t>
      </w:r>
      <w:r>
        <w:rPr>
          <w:rFonts w:hint="eastAsia" w:cs="仿宋" w:asciiTheme="minorEastAsia" w:hAnsiTheme="minorEastAsia" w:eastAsiaTheme="minorEastAsia"/>
          <w:color w:val="auto"/>
          <w:sz w:val="24"/>
          <w:highlight w:val="none"/>
        </w:rPr>
        <w:t>第3.5（8）</w:t>
      </w:r>
      <w:r>
        <w:rPr>
          <w:rFonts w:hint="eastAsia" w:cs="仿宋" w:asciiTheme="minorEastAsia" w:hAnsiTheme="minorEastAsia" w:eastAsiaTheme="minorEastAsia"/>
          <w:color w:val="auto"/>
          <w:sz w:val="24"/>
        </w:rPr>
        <w:t>项的要求提供其他相关证明材料。</w:t>
      </w:r>
    </w:p>
    <w:p>
      <w:pPr>
        <w:spacing w:line="600" w:lineRule="exact"/>
        <w:jc w:val="both"/>
        <w:rPr>
          <w:rFonts w:hint="default" w:cs="仿宋" w:asciiTheme="minorEastAsia" w:hAnsiTheme="minorEastAsia" w:eastAsiaTheme="minorEastAsia"/>
          <w:color w:val="auto"/>
          <w:sz w:val="24"/>
          <w:lang w:val="en-US" w:eastAsia="zh-CN"/>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eastAsia="zh-CN"/>
        </w:rPr>
        <w:t>二</w:t>
      </w:r>
      <w:r>
        <w:rPr>
          <w:rFonts w:hint="eastAsia" w:cs="仿宋" w:asciiTheme="minorEastAsia" w:hAnsiTheme="minorEastAsia" w:eastAsiaTheme="minorEastAsia"/>
          <w:color w:val="auto"/>
          <w:sz w:val="24"/>
        </w:rPr>
        <w:t>）近年的类似</w:t>
      </w:r>
      <w:r>
        <w:rPr>
          <w:rFonts w:hint="eastAsia" w:cs="仿宋" w:asciiTheme="minorEastAsia" w:hAnsiTheme="minorEastAsia" w:eastAsiaTheme="minorEastAsia"/>
          <w:color w:val="auto"/>
          <w:sz w:val="24"/>
          <w:lang w:eastAsia="zh-CN"/>
        </w:rPr>
        <w:t>项目</w:t>
      </w:r>
      <w:r>
        <w:rPr>
          <w:rFonts w:hint="eastAsia" w:cs="仿宋" w:asciiTheme="minorEastAsia" w:hAnsiTheme="minorEastAsia" w:eastAsiaTheme="minorEastAsia"/>
          <w:color w:val="auto"/>
          <w:sz w:val="24"/>
        </w:rPr>
        <w:t>情况表</w:t>
      </w: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项目名称</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服务内容</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委托人/发包人名称</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委托人/发包人联系人及电话</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合同价格</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服务是否完成</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项目负责人（如有）</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项目概况及供应商履约情况</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备注</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bl>
    <w:p>
      <w:pPr>
        <w:spacing w:line="600" w:lineRule="exact"/>
        <w:jc w:val="both"/>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注：供应商应根据供应商须知前附表</w:t>
      </w:r>
      <w:r>
        <w:rPr>
          <w:rFonts w:hint="eastAsia" w:cs="仿宋" w:asciiTheme="minorEastAsia" w:hAnsiTheme="minorEastAsia" w:eastAsiaTheme="minorEastAsia"/>
          <w:color w:val="auto"/>
          <w:sz w:val="24"/>
          <w:highlight w:val="none"/>
        </w:rPr>
        <w:t>第3.5（4）项的</w:t>
      </w:r>
      <w:r>
        <w:rPr>
          <w:rFonts w:hint="eastAsia" w:cs="仿宋" w:asciiTheme="minorEastAsia" w:hAnsiTheme="minorEastAsia" w:eastAsiaTheme="minorEastAsia"/>
          <w:color w:val="auto"/>
          <w:sz w:val="24"/>
        </w:rPr>
        <w:t>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如：提供类似</w:t>
      </w:r>
      <w:r>
        <w:rPr>
          <w:rFonts w:hint="eastAsia" w:cs="宋体" w:asciiTheme="minorEastAsia" w:hAnsiTheme="minorEastAsia" w:eastAsiaTheme="minorEastAsia"/>
          <w:color w:val="auto"/>
          <w:sz w:val="24"/>
        </w:rPr>
        <w:t>业绩</w:t>
      </w:r>
      <w:r>
        <w:rPr>
          <w:rFonts w:hint="eastAsia" w:cs="宋体" w:asciiTheme="minorEastAsia" w:hAnsiTheme="minorEastAsia" w:eastAsiaTheme="minorEastAsia"/>
          <w:color w:val="auto"/>
          <w:sz w:val="24"/>
          <w:lang w:val="en-US" w:eastAsia="zh-CN"/>
        </w:rPr>
        <w:t>合同和业主证明的复印件不少于1份</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并加盖公章。</w:t>
      </w:r>
    </w:p>
    <w:p>
      <w:pPr>
        <w:pStyle w:val="6"/>
        <w:rPr>
          <w:rFonts w:hint="default" w:eastAsiaTheme="minorEastAsia"/>
          <w:color w:val="auto"/>
          <w:lang w:val="en-US" w:eastAsia="zh-CN"/>
        </w:rPr>
      </w:pPr>
    </w:p>
    <w:p>
      <w:pPr>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br w:type="page"/>
      </w:r>
    </w:p>
    <w:p>
      <w:pPr>
        <w:spacing w:line="600" w:lineRule="exact"/>
        <w:jc w:val="both"/>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eastAsia="zh-CN"/>
        </w:rPr>
        <w:t>三</w:t>
      </w:r>
      <w:r>
        <w:rPr>
          <w:rFonts w:hint="eastAsia" w:cs="仿宋" w:asciiTheme="minorEastAsia" w:hAnsiTheme="minorEastAsia" w:eastAsiaTheme="minorEastAsia"/>
          <w:color w:val="auto"/>
          <w:sz w:val="24"/>
        </w:rPr>
        <w:t>）拟委任的人员汇总表</w:t>
      </w:r>
    </w:p>
    <w:tbl>
      <w:tblPr>
        <w:tblStyle w:val="39"/>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050"/>
        <w:gridCol w:w="1050"/>
        <w:gridCol w:w="1515"/>
        <w:gridCol w:w="384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姓名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性别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eastAsia="zh-CN"/>
              </w:rPr>
              <w:t>本项目任</w:t>
            </w:r>
            <w:r>
              <w:rPr>
                <w:rFonts w:hint="eastAsia" w:ascii="宋体" w:hAnsi="宋体" w:cs="宋体"/>
                <w:i w:val="0"/>
                <w:iCs w:val="0"/>
                <w:color w:val="auto"/>
                <w:sz w:val="24"/>
                <w:szCs w:val="24"/>
                <w:u w:val="none"/>
                <w:lang w:val="en-US" w:eastAsia="zh-CN"/>
              </w:rPr>
              <w:t>职</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身份证号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bl>
    <w:p>
      <w:pPr>
        <w:jc w:val="both"/>
        <w:rPr>
          <w:rFonts w:asciiTheme="minorEastAsia" w:hAnsiTheme="minorEastAsia" w:eastAsiaTheme="minorEastAsia"/>
          <w:color w:val="auto"/>
          <w:sz w:val="24"/>
        </w:rPr>
      </w:pPr>
      <w:r>
        <w:rPr>
          <w:rFonts w:asciiTheme="minorEastAsia" w:hAnsiTheme="minorEastAsia" w:eastAsiaTheme="minorEastAsia"/>
          <w:color w:val="auto"/>
          <w:sz w:val="24"/>
        </w:rPr>
        <w:br w:type="page"/>
      </w:r>
    </w:p>
    <w:p>
      <w:pPr>
        <w:adjustRightInd/>
        <w:snapToGrid/>
        <w:spacing w:line="240" w:lineRule="auto"/>
        <w:jc w:val="left"/>
        <w:outlineLvl w:val="9"/>
        <w:rPr>
          <w:rFonts w:hint="eastAsia" w:ascii="黑体" w:hAnsi="黑体" w:eastAsia="黑体" w:cs="仿宋"/>
          <w:color w:val="auto"/>
          <w:sz w:val="36"/>
          <w:szCs w:val="36"/>
          <w:lang w:eastAsia="zh-CN"/>
        </w:rPr>
      </w:pPr>
      <w:bookmarkStart w:id="65" w:name="_Toc2844"/>
    </w:p>
    <w:p>
      <w:pPr>
        <w:adjustRightInd w:val="0"/>
        <w:snapToGrid w:val="0"/>
        <w:spacing w:line="600" w:lineRule="exact"/>
        <w:jc w:val="center"/>
        <w:outlineLvl w:val="0"/>
        <w:rPr>
          <w:rFonts w:hint="eastAsia" w:ascii="黑体" w:hAnsi="黑体" w:eastAsia="黑体" w:cs="仿宋"/>
          <w:color w:val="auto"/>
          <w:sz w:val="36"/>
          <w:szCs w:val="36"/>
          <w:lang w:eastAsia="zh-CN"/>
        </w:rPr>
      </w:pPr>
      <w:bookmarkStart w:id="66" w:name="_Toc17261_WPSOffice_Level1"/>
      <w:r>
        <w:rPr>
          <w:rFonts w:hint="eastAsia" w:ascii="黑体" w:hAnsi="黑体" w:eastAsia="黑体" w:cs="仿宋"/>
          <w:color w:val="auto"/>
          <w:sz w:val="36"/>
          <w:szCs w:val="36"/>
          <w:lang w:val="en-US" w:eastAsia="zh-CN"/>
        </w:rPr>
        <w:t>五</w:t>
      </w:r>
      <w:r>
        <w:rPr>
          <w:rFonts w:hint="eastAsia" w:ascii="黑体" w:hAnsi="黑体" w:eastAsia="黑体" w:cs="仿宋"/>
          <w:color w:val="auto"/>
          <w:sz w:val="36"/>
          <w:szCs w:val="36"/>
        </w:rPr>
        <w:t>、响应方案</w:t>
      </w:r>
      <w:bookmarkEnd w:id="65"/>
      <w:bookmarkEnd w:id="66"/>
    </w:p>
    <w:p>
      <w:pPr>
        <w:pStyle w:val="2"/>
        <w:rPr>
          <w:rFonts w:hint="eastAsia"/>
          <w:color w:val="auto"/>
          <w:lang w:eastAsia="zh-CN"/>
        </w:rPr>
      </w:pPr>
    </w:p>
    <w:p>
      <w:pPr>
        <w:adjustRightInd w:val="0"/>
        <w:snapToGrid w:val="0"/>
        <w:spacing w:line="600" w:lineRule="exact"/>
        <w:ind w:firstLine="480" w:firstLineChars="20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val="en-US" w:eastAsia="zh-CN"/>
        </w:rPr>
        <w:t>6</w:t>
      </w:r>
      <w:r>
        <w:rPr>
          <w:rFonts w:hint="eastAsia" w:cs="仿宋" w:asciiTheme="minorEastAsia" w:hAnsiTheme="minorEastAsia" w:eastAsiaTheme="minorEastAsia"/>
          <w:color w:val="auto"/>
          <w:sz w:val="24"/>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val="en-US" w:eastAsia="zh-CN"/>
        </w:rPr>
        <w:t>7</w:t>
      </w:r>
      <w:r>
        <w:rPr>
          <w:rFonts w:hint="eastAsia" w:cs="仿宋" w:asciiTheme="minorEastAsia" w:hAnsiTheme="minorEastAsia" w:eastAsiaTheme="minorEastAsia"/>
          <w:color w:val="auto"/>
          <w:sz w:val="24"/>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val="en-US" w:eastAsia="zh-CN"/>
        </w:rPr>
        <w:t>8</w:t>
      </w:r>
      <w:r>
        <w:rPr>
          <w:rFonts w:hint="eastAsia" w:cs="仿宋" w:asciiTheme="minorEastAsia" w:hAnsiTheme="minorEastAsia" w:eastAsiaTheme="minorEastAsia"/>
          <w:color w:val="auto"/>
          <w:sz w:val="24"/>
        </w:rPr>
        <w:t>)对本项目的合理化建议。</w:t>
      </w:r>
    </w:p>
    <w:p>
      <w:pPr>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br w:type="page"/>
      </w:r>
    </w:p>
    <w:p>
      <w:pPr>
        <w:adjustRightInd w:val="0"/>
        <w:snapToGrid w:val="0"/>
        <w:spacing w:line="600" w:lineRule="exact"/>
        <w:jc w:val="center"/>
        <w:outlineLvl w:val="0"/>
        <w:rPr>
          <w:rFonts w:ascii="黑体" w:hAnsi="黑体" w:eastAsia="黑体" w:cs="仿宋"/>
          <w:color w:val="auto"/>
          <w:sz w:val="36"/>
          <w:szCs w:val="36"/>
        </w:rPr>
      </w:pPr>
      <w:bookmarkStart w:id="67" w:name="_Toc10499"/>
      <w:bookmarkStart w:id="68" w:name="_Toc24102_WPSOffice_Level1"/>
      <w:r>
        <w:rPr>
          <w:rFonts w:hint="eastAsia" w:ascii="黑体" w:hAnsi="黑体" w:eastAsia="黑体" w:cs="仿宋"/>
          <w:color w:val="auto"/>
          <w:sz w:val="36"/>
          <w:szCs w:val="36"/>
          <w:lang w:val="en-US" w:eastAsia="zh-CN"/>
        </w:rPr>
        <w:t>六</w:t>
      </w:r>
      <w:r>
        <w:rPr>
          <w:rFonts w:hint="eastAsia" w:ascii="黑体" w:hAnsi="黑体" w:eastAsia="黑体" w:cs="仿宋"/>
          <w:color w:val="auto"/>
          <w:sz w:val="36"/>
          <w:szCs w:val="36"/>
        </w:rPr>
        <w:t>、其他资料</w:t>
      </w:r>
      <w:bookmarkEnd w:id="67"/>
      <w:bookmarkEnd w:id="68"/>
    </w:p>
    <w:p>
      <w:pPr>
        <w:adjustRightInd w:val="0"/>
        <w:snapToGrid w:val="0"/>
        <w:spacing w:line="600" w:lineRule="exact"/>
        <w:ind w:left="420" w:leftChars="200"/>
        <w:jc w:val="both"/>
        <w:rPr>
          <w:rFonts w:cs="仿宋" w:asciiTheme="minorEastAsia" w:hAnsiTheme="minorEastAsia" w:eastAsiaTheme="minorEastAsia"/>
          <w:color w:val="auto"/>
          <w:sz w:val="24"/>
        </w:rPr>
      </w:pPr>
    </w:p>
    <w:p>
      <w:pPr>
        <w:adjustRightInd w:val="0"/>
        <w:snapToGrid w:val="0"/>
        <w:spacing w:line="600" w:lineRule="exact"/>
        <w:ind w:left="420" w:leftChars="20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供应商需提交的其他资料。</w:t>
      </w:r>
    </w:p>
    <w:p>
      <w:pPr>
        <w:spacing w:line="240" w:lineRule="auto"/>
        <w:jc w:val="both"/>
        <w:rPr>
          <w:rFonts w:asciiTheme="minorEastAsia" w:hAnsiTheme="minorEastAsia" w:eastAsiaTheme="minorEastAsia"/>
          <w:color w:val="auto"/>
          <w:sz w:val="24"/>
        </w:rPr>
      </w:pPr>
    </w:p>
    <w:p>
      <w:pPr>
        <w:rPr>
          <w:color w:val="auto"/>
        </w:rPr>
      </w:pPr>
    </w:p>
    <w:bookmarkEnd w:id="63"/>
    <w:bookmarkEnd w:id="64"/>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92DCC"/>
    <w:multiLevelType w:val="singleLevel"/>
    <w:tmpl w:val="97592DCC"/>
    <w:lvl w:ilvl="0" w:tentative="0">
      <w:start w:val="2"/>
      <w:numFmt w:val="chineseCounting"/>
      <w:suff w:val="nothing"/>
      <w:lvlText w:val="（%1）"/>
      <w:lvlJc w:val="left"/>
      <w:rPr>
        <w:rFonts w:hint="eastAsia"/>
      </w:rPr>
    </w:lvl>
  </w:abstractNum>
  <w:abstractNum w:abstractNumId="1">
    <w:nsid w:val="A2D4E37A"/>
    <w:multiLevelType w:val="singleLevel"/>
    <w:tmpl w:val="A2D4E37A"/>
    <w:lvl w:ilvl="0" w:tentative="0">
      <w:start w:val="1"/>
      <w:numFmt w:val="chineseCounting"/>
      <w:suff w:val="nothing"/>
      <w:lvlText w:val="%1、"/>
      <w:lvlJc w:val="left"/>
      <w:rPr>
        <w:rFonts w:hint="eastAsia"/>
      </w:rPr>
    </w:lvl>
  </w:abstractNum>
  <w:abstractNum w:abstractNumId="2">
    <w:nsid w:val="E6A34FA9"/>
    <w:multiLevelType w:val="singleLevel"/>
    <w:tmpl w:val="E6A34FA9"/>
    <w:lvl w:ilvl="0" w:tentative="0">
      <w:start w:val="1"/>
      <w:numFmt w:val="chineseCounting"/>
      <w:suff w:val="nothing"/>
      <w:lvlText w:val="（%1）"/>
      <w:lvlJc w:val="left"/>
      <w:rPr>
        <w:rFonts w:hint="eastAsia"/>
      </w:rPr>
    </w:lvl>
  </w:abstractNum>
  <w:abstractNum w:abstractNumId="3">
    <w:nsid w:val="F5A50EFD"/>
    <w:multiLevelType w:val="singleLevel"/>
    <w:tmpl w:val="F5A50EFD"/>
    <w:lvl w:ilvl="0" w:tentative="0">
      <w:start w:val="3"/>
      <w:numFmt w:val="chineseCounting"/>
      <w:suff w:val="nothing"/>
      <w:lvlText w:val="%1、"/>
      <w:lvlJc w:val="left"/>
      <w:rPr>
        <w:rFonts w:hint="eastAsia"/>
      </w:r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3601A173"/>
    <w:multiLevelType w:val="singleLevel"/>
    <w:tmpl w:val="3601A173"/>
    <w:lvl w:ilvl="0" w:tentative="0">
      <w:start w:val="1"/>
      <w:numFmt w:val="chineseCounting"/>
      <w:suff w:val="nothing"/>
      <w:lvlText w:val="%1、"/>
      <w:lvlJc w:val="left"/>
      <w:rPr>
        <w:rFonts w:hint="eastAsia"/>
      </w:rPr>
    </w:lvl>
  </w:abstractNum>
  <w:abstractNum w:abstractNumId="6">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105B98"/>
    <w:multiLevelType w:val="singleLevel"/>
    <w:tmpl w:val="6B105B98"/>
    <w:lvl w:ilvl="0" w:tentative="0">
      <w:start w:val="1"/>
      <w:numFmt w:val="decimal"/>
      <w:lvlText w:val="%1."/>
      <w:lvlJc w:val="left"/>
      <w:pPr>
        <w:tabs>
          <w:tab w:val="left" w:pos="312"/>
        </w:tabs>
      </w:pPr>
    </w:lvl>
  </w:abstractNum>
  <w:num w:numId="1">
    <w:abstractNumId w:val="6"/>
  </w:num>
  <w:num w:numId="2">
    <w:abstractNumId w:val="1"/>
  </w:num>
  <w:num w:numId="3">
    <w:abstractNumId w:val="2"/>
  </w:num>
  <w:num w:numId="4">
    <w:abstractNumId w:val="3"/>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hideSpellingErrors/>
  <w:documentProtection w:edit="trackedChanges"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ZTIxNzAxNjQyOTkxN2U1NmM2YWZkODNhNTExYWM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3B5"/>
    <w:rsid w:val="000B4936"/>
    <w:rsid w:val="000C4E44"/>
    <w:rsid w:val="000C5689"/>
    <w:rsid w:val="000D3A07"/>
    <w:rsid w:val="000E5829"/>
    <w:rsid w:val="000F2F60"/>
    <w:rsid w:val="000F3D59"/>
    <w:rsid w:val="000F65C5"/>
    <w:rsid w:val="00101210"/>
    <w:rsid w:val="0011157B"/>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28"/>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1BE2"/>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3673"/>
    <w:rsid w:val="007F3D4A"/>
    <w:rsid w:val="0080745B"/>
    <w:rsid w:val="00822A51"/>
    <w:rsid w:val="00824B55"/>
    <w:rsid w:val="008336E2"/>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1526B"/>
    <w:rsid w:val="009315C2"/>
    <w:rsid w:val="00935E41"/>
    <w:rsid w:val="00935ED2"/>
    <w:rsid w:val="00944E8E"/>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277EF"/>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136A"/>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1E3D"/>
    <w:rsid w:val="00D26E74"/>
    <w:rsid w:val="00D27461"/>
    <w:rsid w:val="00D30D7D"/>
    <w:rsid w:val="00D32AD3"/>
    <w:rsid w:val="00D35B47"/>
    <w:rsid w:val="00D44DE9"/>
    <w:rsid w:val="00D4514A"/>
    <w:rsid w:val="00D52D42"/>
    <w:rsid w:val="00D5313A"/>
    <w:rsid w:val="00D56D4E"/>
    <w:rsid w:val="00D812B2"/>
    <w:rsid w:val="00D841AD"/>
    <w:rsid w:val="00D86AE8"/>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3D3F24"/>
    <w:rsid w:val="01406C76"/>
    <w:rsid w:val="01756573"/>
    <w:rsid w:val="01AC7279"/>
    <w:rsid w:val="01B12206"/>
    <w:rsid w:val="01B85DEE"/>
    <w:rsid w:val="01E72DF1"/>
    <w:rsid w:val="01FF193E"/>
    <w:rsid w:val="02343C60"/>
    <w:rsid w:val="02AA45F0"/>
    <w:rsid w:val="02AE07B4"/>
    <w:rsid w:val="02CC3DD3"/>
    <w:rsid w:val="02CC5642"/>
    <w:rsid w:val="02D43120"/>
    <w:rsid w:val="02D70C7A"/>
    <w:rsid w:val="02D827B0"/>
    <w:rsid w:val="03140B0F"/>
    <w:rsid w:val="031501B1"/>
    <w:rsid w:val="0323389B"/>
    <w:rsid w:val="03287ACA"/>
    <w:rsid w:val="035E016E"/>
    <w:rsid w:val="0388663C"/>
    <w:rsid w:val="03A171BE"/>
    <w:rsid w:val="04014C5E"/>
    <w:rsid w:val="04123609"/>
    <w:rsid w:val="04292F02"/>
    <w:rsid w:val="04790E93"/>
    <w:rsid w:val="04A82509"/>
    <w:rsid w:val="04C11A63"/>
    <w:rsid w:val="04F528D6"/>
    <w:rsid w:val="050D2E80"/>
    <w:rsid w:val="05725EBF"/>
    <w:rsid w:val="05C605E1"/>
    <w:rsid w:val="05E25BFB"/>
    <w:rsid w:val="05EF1FFE"/>
    <w:rsid w:val="05EF2385"/>
    <w:rsid w:val="05FC2220"/>
    <w:rsid w:val="0615752A"/>
    <w:rsid w:val="069F4940"/>
    <w:rsid w:val="06C12B4D"/>
    <w:rsid w:val="071C2DD7"/>
    <w:rsid w:val="07470275"/>
    <w:rsid w:val="07591FC7"/>
    <w:rsid w:val="07C86D9E"/>
    <w:rsid w:val="08320503"/>
    <w:rsid w:val="08473838"/>
    <w:rsid w:val="08A909FA"/>
    <w:rsid w:val="08BE0D24"/>
    <w:rsid w:val="08D55229"/>
    <w:rsid w:val="08F83980"/>
    <w:rsid w:val="0901547A"/>
    <w:rsid w:val="09063BDE"/>
    <w:rsid w:val="094D7218"/>
    <w:rsid w:val="0957197B"/>
    <w:rsid w:val="09710FA4"/>
    <w:rsid w:val="097A6637"/>
    <w:rsid w:val="09B11A39"/>
    <w:rsid w:val="09B30424"/>
    <w:rsid w:val="09C6304D"/>
    <w:rsid w:val="09D947CF"/>
    <w:rsid w:val="09E54C2D"/>
    <w:rsid w:val="09F479B8"/>
    <w:rsid w:val="0A0D0974"/>
    <w:rsid w:val="0A3925DE"/>
    <w:rsid w:val="0A511319"/>
    <w:rsid w:val="0A80731A"/>
    <w:rsid w:val="0ADD31D6"/>
    <w:rsid w:val="0AED2D32"/>
    <w:rsid w:val="0B043F0E"/>
    <w:rsid w:val="0B3E09B3"/>
    <w:rsid w:val="0BB97DD2"/>
    <w:rsid w:val="0BBB28E7"/>
    <w:rsid w:val="0BEE2CDB"/>
    <w:rsid w:val="0C3C0638"/>
    <w:rsid w:val="0C49746F"/>
    <w:rsid w:val="0C905B62"/>
    <w:rsid w:val="0C9940FC"/>
    <w:rsid w:val="0CB56E1A"/>
    <w:rsid w:val="0CE628C0"/>
    <w:rsid w:val="0D055443"/>
    <w:rsid w:val="0D13424E"/>
    <w:rsid w:val="0D1F15BD"/>
    <w:rsid w:val="0D493385"/>
    <w:rsid w:val="0D554381"/>
    <w:rsid w:val="0DB759FC"/>
    <w:rsid w:val="0DDF1A07"/>
    <w:rsid w:val="0DE45C36"/>
    <w:rsid w:val="0E0C5200"/>
    <w:rsid w:val="0E862CBC"/>
    <w:rsid w:val="0E891CDE"/>
    <w:rsid w:val="0EB46C44"/>
    <w:rsid w:val="0EBD5F56"/>
    <w:rsid w:val="0ECA07E3"/>
    <w:rsid w:val="0F5341AC"/>
    <w:rsid w:val="0F9A2822"/>
    <w:rsid w:val="0FC61971"/>
    <w:rsid w:val="0FDA6F04"/>
    <w:rsid w:val="105D7981"/>
    <w:rsid w:val="106A648C"/>
    <w:rsid w:val="108924C3"/>
    <w:rsid w:val="10FA11A4"/>
    <w:rsid w:val="11786165"/>
    <w:rsid w:val="11967974"/>
    <w:rsid w:val="119E5E08"/>
    <w:rsid w:val="11AC76CF"/>
    <w:rsid w:val="11C826A1"/>
    <w:rsid w:val="11E102DC"/>
    <w:rsid w:val="11F91AD9"/>
    <w:rsid w:val="1202325C"/>
    <w:rsid w:val="120E314D"/>
    <w:rsid w:val="12612E3B"/>
    <w:rsid w:val="128E285B"/>
    <w:rsid w:val="12A10B00"/>
    <w:rsid w:val="12D616CB"/>
    <w:rsid w:val="12F4756B"/>
    <w:rsid w:val="131849C9"/>
    <w:rsid w:val="13274F64"/>
    <w:rsid w:val="135C7CDA"/>
    <w:rsid w:val="138F3AB8"/>
    <w:rsid w:val="13927B6F"/>
    <w:rsid w:val="13FE6B7F"/>
    <w:rsid w:val="14035CB1"/>
    <w:rsid w:val="148E4E96"/>
    <w:rsid w:val="14AB1F6A"/>
    <w:rsid w:val="14CA66D7"/>
    <w:rsid w:val="1504385E"/>
    <w:rsid w:val="1510167B"/>
    <w:rsid w:val="155B4089"/>
    <w:rsid w:val="1567191B"/>
    <w:rsid w:val="15732BFE"/>
    <w:rsid w:val="15E056A4"/>
    <w:rsid w:val="16314BAD"/>
    <w:rsid w:val="16372D32"/>
    <w:rsid w:val="165B0B3D"/>
    <w:rsid w:val="1677417D"/>
    <w:rsid w:val="16FC3FE3"/>
    <w:rsid w:val="17023688"/>
    <w:rsid w:val="172868FD"/>
    <w:rsid w:val="173A4A9B"/>
    <w:rsid w:val="17594306"/>
    <w:rsid w:val="17D539F2"/>
    <w:rsid w:val="17E07680"/>
    <w:rsid w:val="17FD3D48"/>
    <w:rsid w:val="180D01EB"/>
    <w:rsid w:val="183063D9"/>
    <w:rsid w:val="18794A11"/>
    <w:rsid w:val="18894FCC"/>
    <w:rsid w:val="19097045"/>
    <w:rsid w:val="19233D4A"/>
    <w:rsid w:val="192B2350"/>
    <w:rsid w:val="19462639"/>
    <w:rsid w:val="197611A4"/>
    <w:rsid w:val="198429D5"/>
    <w:rsid w:val="19924D60"/>
    <w:rsid w:val="199E07F4"/>
    <w:rsid w:val="1A27763C"/>
    <w:rsid w:val="1A355776"/>
    <w:rsid w:val="1A4467BF"/>
    <w:rsid w:val="1AD96A7F"/>
    <w:rsid w:val="1AE57390"/>
    <w:rsid w:val="1B3A2DE8"/>
    <w:rsid w:val="1B7730E6"/>
    <w:rsid w:val="1B775278"/>
    <w:rsid w:val="1BCF10F6"/>
    <w:rsid w:val="1BF57933"/>
    <w:rsid w:val="1C841655"/>
    <w:rsid w:val="1CC55A22"/>
    <w:rsid w:val="1CDC1A13"/>
    <w:rsid w:val="1CDD4482"/>
    <w:rsid w:val="1D231209"/>
    <w:rsid w:val="1D31682F"/>
    <w:rsid w:val="1DE25147"/>
    <w:rsid w:val="1E1B2496"/>
    <w:rsid w:val="1E1F3B60"/>
    <w:rsid w:val="1E27531B"/>
    <w:rsid w:val="1E4D0963"/>
    <w:rsid w:val="1E595086"/>
    <w:rsid w:val="1E6932A3"/>
    <w:rsid w:val="1E840285"/>
    <w:rsid w:val="1EA305EF"/>
    <w:rsid w:val="1F0F7132"/>
    <w:rsid w:val="1F2E0BFF"/>
    <w:rsid w:val="1F3860BE"/>
    <w:rsid w:val="1F5C052B"/>
    <w:rsid w:val="1F710084"/>
    <w:rsid w:val="1FB60AF2"/>
    <w:rsid w:val="1FBF76D7"/>
    <w:rsid w:val="1FF07680"/>
    <w:rsid w:val="20573EE6"/>
    <w:rsid w:val="205E6558"/>
    <w:rsid w:val="20B46A83"/>
    <w:rsid w:val="20F90132"/>
    <w:rsid w:val="210756B9"/>
    <w:rsid w:val="212E078A"/>
    <w:rsid w:val="214E5AAB"/>
    <w:rsid w:val="21AE4866"/>
    <w:rsid w:val="21CA0AFC"/>
    <w:rsid w:val="21F12038"/>
    <w:rsid w:val="2212736A"/>
    <w:rsid w:val="22347EC0"/>
    <w:rsid w:val="2237219C"/>
    <w:rsid w:val="22675C42"/>
    <w:rsid w:val="22FB146A"/>
    <w:rsid w:val="230D784D"/>
    <w:rsid w:val="23270CEF"/>
    <w:rsid w:val="233E3859"/>
    <w:rsid w:val="23C63B08"/>
    <w:rsid w:val="23E657A3"/>
    <w:rsid w:val="24570539"/>
    <w:rsid w:val="248F7A3A"/>
    <w:rsid w:val="249F7694"/>
    <w:rsid w:val="25034217"/>
    <w:rsid w:val="251113EA"/>
    <w:rsid w:val="254C3C10"/>
    <w:rsid w:val="25846622"/>
    <w:rsid w:val="259F208E"/>
    <w:rsid w:val="25CD1458"/>
    <w:rsid w:val="25E46D6D"/>
    <w:rsid w:val="264559B4"/>
    <w:rsid w:val="26491096"/>
    <w:rsid w:val="264E6DB9"/>
    <w:rsid w:val="26566116"/>
    <w:rsid w:val="2665195A"/>
    <w:rsid w:val="26A05072"/>
    <w:rsid w:val="26F36771"/>
    <w:rsid w:val="27064377"/>
    <w:rsid w:val="273A5801"/>
    <w:rsid w:val="276232B6"/>
    <w:rsid w:val="27A657E5"/>
    <w:rsid w:val="27EB4EDE"/>
    <w:rsid w:val="27F21AE8"/>
    <w:rsid w:val="28182E2E"/>
    <w:rsid w:val="2872440F"/>
    <w:rsid w:val="28F83192"/>
    <w:rsid w:val="29231AB1"/>
    <w:rsid w:val="29256439"/>
    <w:rsid w:val="29551B32"/>
    <w:rsid w:val="296B366F"/>
    <w:rsid w:val="29972797"/>
    <w:rsid w:val="29B10370"/>
    <w:rsid w:val="29BE7DB5"/>
    <w:rsid w:val="29F11AD6"/>
    <w:rsid w:val="29FA54C6"/>
    <w:rsid w:val="2A1118C9"/>
    <w:rsid w:val="2A9E2EFD"/>
    <w:rsid w:val="2AB16E31"/>
    <w:rsid w:val="2B5238E7"/>
    <w:rsid w:val="2B5F032F"/>
    <w:rsid w:val="2B6A1B7F"/>
    <w:rsid w:val="2B961722"/>
    <w:rsid w:val="2BE36401"/>
    <w:rsid w:val="2BF10955"/>
    <w:rsid w:val="2BFA11C0"/>
    <w:rsid w:val="2C1443AA"/>
    <w:rsid w:val="2C3E3082"/>
    <w:rsid w:val="2C711F07"/>
    <w:rsid w:val="2CA34C83"/>
    <w:rsid w:val="2CA4764A"/>
    <w:rsid w:val="2CBC3742"/>
    <w:rsid w:val="2CCC343C"/>
    <w:rsid w:val="2CDC1687"/>
    <w:rsid w:val="2CE91423"/>
    <w:rsid w:val="2D2D1041"/>
    <w:rsid w:val="2D5425C2"/>
    <w:rsid w:val="2D9A3173"/>
    <w:rsid w:val="2E101350"/>
    <w:rsid w:val="2E3A1D09"/>
    <w:rsid w:val="2E41641E"/>
    <w:rsid w:val="2E944985"/>
    <w:rsid w:val="2F0D3458"/>
    <w:rsid w:val="2F202FA0"/>
    <w:rsid w:val="2F6B5909"/>
    <w:rsid w:val="2F7B4DDE"/>
    <w:rsid w:val="2FB86253"/>
    <w:rsid w:val="2FD26F55"/>
    <w:rsid w:val="2FF3462D"/>
    <w:rsid w:val="30096558"/>
    <w:rsid w:val="30196984"/>
    <w:rsid w:val="30640EFC"/>
    <w:rsid w:val="3065119A"/>
    <w:rsid w:val="30675784"/>
    <w:rsid w:val="30C606E6"/>
    <w:rsid w:val="30DE2DAE"/>
    <w:rsid w:val="30E72522"/>
    <w:rsid w:val="31307046"/>
    <w:rsid w:val="322C0915"/>
    <w:rsid w:val="32356FD5"/>
    <w:rsid w:val="32756EB2"/>
    <w:rsid w:val="32C54E01"/>
    <w:rsid w:val="32D65578"/>
    <w:rsid w:val="32FD2138"/>
    <w:rsid w:val="3312147C"/>
    <w:rsid w:val="33291EDB"/>
    <w:rsid w:val="333A4144"/>
    <w:rsid w:val="334E5D5A"/>
    <w:rsid w:val="339248A7"/>
    <w:rsid w:val="33ED61CD"/>
    <w:rsid w:val="34666F41"/>
    <w:rsid w:val="34675474"/>
    <w:rsid w:val="34874156"/>
    <w:rsid w:val="349D092C"/>
    <w:rsid w:val="34CB3A4E"/>
    <w:rsid w:val="34E94521"/>
    <w:rsid w:val="35032B89"/>
    <w:rsid w:val="3526336A"/>
    <w:rsid w:val="357D37EE"/>
    <w:rsid w:val="359953B3"/>
    <w:rsid w:val="35FD0385"/>
    <w:rsid w:val="36237721"/>
    <w:rsid w:val="36913CE5"/>
    <w:rsid w:val="36F00EA9"/>
    <w:rsid w:val="371B0FF1"/>
    <w:rsid w:val="376063D1"/>
    <w:rsid w:val="379028BA"/>
    <w:rsid w:val="379B30ED"/>
    <w:rsid w:val="37AB74C2"/>
    <w:rsid w:val="37E36BED"/>
    <w:rsid w:val="381B087C"/>
    <w:rsid w:val="384B19D4"/>
    <w:rsid w:val="38564CD5"/>
    <w:rsid w:val="387767B8"/>
    <w:rsid w:val="38AE525C"/>
    <w:rsid w:val="38D47F18"/>
    <w:rsid w:val="38E83D76"/>
    <w:rsid w:val="391C3471"/>
    <w:rsid w:val="395E460C"/>
    <w:rsid w:val="39B0147D"/>
    <w:rsid w:val="3A642443"/>
    <w:rsid w:val="3AB04490"/>
    <w:rsid w:val="3ACF085C"/>
    <w:rsid w:val="3B2B40CB"/>
    <w:rsid w:val="3BA82A38"/>
    <w:rsid w:val="3BBF3A9C"/>
    <w:rsid w:val="3CA320DE"/>
    <w:rsid w:val="3CDC5C48"/>
    <w:rsid w:val="3CE30098"/>
    <w:rsid w:val="3CE433F0"/>
    <w:rsid w:val="3CE77CE3"/>
    <w:rsid w:val="3CFE679F"/>
    <w:rsid w:val="3EC61A1B"/>
    <w:rsid w:val="3F345911"/>
    <w:rsid w:val="3FAC6431"/>
    <w:rsid w:val="3FB93C81"/>
    <w:rsid w:val="3FBF1EEE"/>
    <w:rsid w:val="3FE03B95"/>
    <w:rsid w:val="3FEC1885"/>
    <w:rsid w:val="40237DD4"/>
    <w:rsid w:val="4069145F"/>
    <w:rsid w:val="40A62FA1"/>
    <w:rsid w:val="40B97EBB"/>
    <w:rsid w:val="411D6D2F"/>
    <w:rsid w:val="411D6F49"/>
    <w:rsid w:val="42586730"/>
    <w:rsid w:val="425A1C32"/>
    <w:rsid w:val="425C1855"/>
    <w:rsid w:val="427D1648"/>
    <w:rsid w:val="42D8397F"/>
    <w:rsid w:val="430D3E24"/>
    <w:rsid w:val="43356112"/>
    <w:rsid w:val="434E3A0A"/>
    <w:rsid w:val="437C555D"/>
    <w:rsid w:val="43807FB6"/>
    <w:rsid w:val="439369B8"/>
    <w:rsid w:val="439438FE"/>
    <w:rsid w:val="439D56D9"/>
    <w:rsid w:val="43A50A47"/>
    <w:rsid w:val="43ED0597"/>
    <w:rsid w:val="43EE1136"/>
    <w:rsid w:val="44005915"/>
    <w:rsid w:val="441F577B"/>
    <w:rsid w:val="44365E73"/>
    <w:rsid w:val="44A57770"/>
    <w:rsid w:val="44D14A1F"/>
    <w:rsid w:val="4503099B"/>
    <w:rsid w:val="453D00CF"/>
    <w:rsid w:val="453D7EFA"/>
    <w:rsid w:val="45622D3C"/>
    <w:rsid w:val="45761EBB"/>
    <w:rsid w:val="457F003D"/>
    <w:rsid w:val="45844431"/>
    <w:rsid w:val="45854E0B"/>
    <w:rsid w:val="45B722A2"/>
    <w:rsid w:val="45D50676"/>
    <w:rsid w:val="45DC3125"/>
    <w:rsid w:val="460D10DC"/>
    <w:rsid w:val="46163ED6"/>
    <w:rsid w:val="461C4066"/>
    <w:rsid w:val="46480423"/>
    <w:rsid w:val="46C44BD5"/>
    <w:rsid w:val="46FD0ED7"/>
    <w:rsid w:val="472C37BA"/>
    <w:rsid w:val="474E3AD1"/>
    <w:rsid w:val="47690CE9"/>
    <w:rsid w:val="47B15A25"/>
    <w:rsid w:val="47D44A52"/>
    <w:rsid w:val="4864156E"/>
    <w:rsid w:val="48CE77DB"/>
    <w:rsid w:val="48E82B89"/>
    <w:rsid w:val="49035C1C"/>
    <w:rsid w:val="49333360"/>
    <w:rsid w:val="4934311A"/>
    <w:rsid w:val="49BF07A0"/>
    <w:rsid w:val="49DD15DE"/>
    <w:rsid w:val="4A0F43C9"/>
    <w:rsid w:val="4A381CE6"/>
    <w:rsid w:val="4A507503"/>
    <w:rsid w:val="4B1366F7"/>
    <w:rsid w:val="4BA13D17"/>
    <w:rsid w:val="4BA24842"/>
    <w:rsid w:val="4BB73BE9"/>
    <w:rsid w:val="4BE5472B"/>
    <w:rsid w:val="4BEB2031"/>
    <w:rsid w:val="4C277E96"/>
    <w:rsid w:val="4C510125"/>
    <w:rsid w:val="4C675291"/>
    <w:rsid w:val="4C6E68AE"/>
    <w:rsid w:val="4C94111A"/>
    <w:rsid w:val="4D4D6AF7"/>
    <w:rsid w:val="4D597AF4"/>
    <w:rsid w:val="4D5C1C0C"/>
    <w:rsid w:val="4D637AFB"/>
    <w:rsid w:val="4D6E6C73"/>
    <w:rsid w:val="4D90451E"/>
    <w:rsid w:val="4DF5092A"/>
    <w:rsid w:val="4E036B88"/>
    <w:rsid w:val="4E0D09E3"/>
    <w:rsid w:val="4E4E6079"/>
    <w:rsid w:val="4E5F0909"/>
    <w:rsid w:val="4E6200BB"/>
    <w:rsid w:val="4E6653E0"/>
    <w:rsid w:val="4E875D72"/>
    <w:rsid w:val="4EC96A44"/>
    <w:rsid w:val="4ECE4F3D"/>
    <w:rsid w:val="4ED704C3"/>
    <w:rsid w:val="4F073EC1"/>
    <w:rsid w:val="4F10554C"/>
    <w:rsid w:val="4FBC0F82"/>
    <w:rsid w:val="50007ACD"/>
    <w:rsid w:val="50203001"/>
    <w:rsid w:val="502E6B39"/>
    <w:rsid w:val="50487B81"/>
    <w:rsid w:val="5055737D"/>
    <w:rsid w:val="50740CF9"/>
    <w:rsid w:val="509C3BAA"/>
    <w:rsid w:val="516E081B"/>
    <w:rsid w:val="51787213"/>
    <w:rsid w:val="5186383F"/>
    <w:rsid w:val="51A274F2"/>
    <w:rsid w:val="51CE738D"/>
    <w:rsid w:val="51D64D99"/>
    <w:rsid w:val="52472266"/>
    <w:rsid w:val="5257047F"/>
    <w:rsid w:val="53043CC0"/>
    <w:rsid w:val="53211950"/>
    <w:rsid w:val="53442347"/>
    <w:rsid w:val="534519E9"/>
    <w:rsid w:val="536749FB"/>
    <w:rsid w:val="53AD7BDA"/>
    <w:rsid w:val="53CE651E"/>
    <w:rsid w:val="542A7446"/>
    <w:rsid w:val="544F1858"/>
    <w:rsid w:val="545855A0"/>
    <w:rsid w:val="5481051A"/>
    <w:rsid w:val="54877909"/>
    <w:rsid w:val="54A04F1C"/>
    <w:rsid w:val="550D66AE"/>
    <w:rsid w:val="555E60BF"/>
    <w:rsid w:val="55653F0F"/>
    <w:rsid w:val="55683C90"/>
    <w:rsid w:val="559C353C"/>
    <w:rsid w:val="564850A0"/>
    <w:rsid w:val="56553E52"/>
    <w:rsid w:val="56566DD9"/>
    <w:rsid w:val="56820D5B"/>
    <w:rsid w:val="56AC3ADE"/>
    <w:rsid w:val="56D17126"/>
    <w:rsid w:val="56E9078B"/>
    <w:rsid w:val="57096D7C"/>
    <w:rsid w:val="57393E1A"/>
    <w:rsid w:val="573F5C03"/>
    <w:rsid w:val="57402ECA"/>
    <w:rsid w:val="574F3973"/>
    <w:rsid w:val="576E23B2"/>
    <w:rsid w:val="57700BAA"/>
    <w:rsid w:val="57A36AAD"/>
    <w:rsid w:val="57CF249D"/>
    <w:rsid w:val="57FD3E2B"/>
    <w:rsid w:val="58333DF6"/>
    <w:rsid w:val="58594A89"/>
    <w:rsid w:val="585D40C1"/>
    <w:rsid w:val="59151B75"/>
    <w:rsid w:val="591F1435"/>
    <w:rsid w:val="592C3741"/>
    <w:rsid w:val="593C43F0"/>
    <w:rsid w:val="594074E8"/>
    <w:rsid w:val="596B1802"/>
    <w:rsid w:val="596E391A"/>
    <w:rsid w:val="597265D0"/>
    <w:rsid w:val="598471A6"/>
    <w:rsid w:val="599C5E75"/>
    <w:rsid w:val="59BD5424"/>
    <w:rsid w:val="59E63722"/>
    <w:rsid w:val="5A032154"/>
    <w:rsid w:val="5A0A383A"/>
    <w:rsid w:val="5A1F5D24"/>
    <w:rsid w:val="5AB525E2"/>
    <w:rsid w:val="5AEA194B"/>
    <w:rsid w:val="5AFA67D1"/>
    <w:rsid w:val="5AFD12A8"/>
    <w:rsid w:val="5B3114AB"/>
    <w:rsid w:val="5B6E42E3"/>
    <w:rsid w:val="5B7618C6"/>
    <w:rsid w:val="5B840AA2"/>
    <w:rsid w:val="5B85665F"/>
    <w:rsid w:val="5B9C28AF"/>
    <w:rsid w:val="5BA477A6"/>
    <w:rsid w:val="5BBA4C11"/>
    <w:rsid w:val="5C0A578E"/>
    <w:rsid w:val="5C762BE0"/>
    <w:rsid w:val="5C90041D"/>
    <w:rsid w:val="5CC46506"/>
    <w:rsid w:val="5CFF06CE"/>
    <w:rsid w:val="5D3A638B"/>
    <w:rsid w:val="5D650ECF"/>
    <w:rsid w:val="5D7734CC"/>
    <w:rsid w:val="5E007081"/>
    <w:rsid w:val="5E074C6F"/>
    <w:rsid w:val="5E16446C"/>
    <w:rsid w:val="5E2113DA"/>
    <w:rsid w:val="5EE611DF"/>
    <w:rsid w:val="5F015CCB"/>
    <w:rsid w:val="5F9F1931"/>
    <w:rsid w:val="5FA22F35"/>
    <w:rsid w:val="5FC1264B"/>
    <w:rsid w:val="5FC5301A"/>
    <w:rsid w:val="5FDF6A96"/>
    <w:rsid w:val="609A5B53"/>
    <w:rsid w:val="60AB46AA"/>
    <w:rsid w:val="60CE1487"/>
    <w:rsid w:val="60E16353"/>
    <w:rsid w:val="6190756E"/>
    <w:rsid w:val="61BE5496"/>
    <w:rsid w:val="61D0169D"/>
    <w:rsid w:val="61FE0491"/>
    <w:rsid w:val="622247BC"/>
    <w:rsid w:val="62525166"/>
    <w:rsid w:val="628F6C91"/>
    <w:rsid w:val="62B2525D"/>
    <w:rsid w:val="62B5766A"/>
    <w:rsid w:val="630D7C5F"/>
    <w:rsid w:val="63310F09"/>
    <w:rsid w:val="636C257A"/>
    <w:rsid w:val="63AB24E0"/>
    <w:rsid w:val="63B84F56"/>
    <w:rsid w:val="63E72DC8"/>
    <w:rsid w:val="63FA61A4"/>
    <w:rsid w:val="648556EE"/>
    <w:rsid w:val="64C21846"/>
    <w:rsid w:val="64E63914"/>
    <w:rsid w:val="65B654C1"/>
    <w:rsid w:val="65B75E9B"/>
    <w:rsid w:val="65DD1E20"/>
    <w:rsid w:val="661339A3"/>
    <w:rsid w:val="662A7E8C"/>
    <w:rsid w:val="663E10C6"/>
    <w:rsid w:val="66402D0B"/>
    <w:rsid w:val="66453C5A"/>
    <w:rsid w:val="664561D7"/>
    <w:rsid w:val="66862B0C"/>
    <w:rsid w:val="673B3A73"/>
    <w:rsid w:val="676E05AF"/>
    <w:rsid w:val="67DB2C51"/>
    <w:rsid w:val="68203558"/>
    <w:rsid w:val="68562B5B"/>
    <w:rsid w:val="68680C6F"/>
    <w:rsid w:val="686B311E"/>
    <w:rsid w:val="689B5E52"/>
    <w:rsid w:val="68A14CED"/>
    <w:rsid w:val="68FB6716"/>
    <w:rsid w:val="696A6E60"/>
    <w:rsid w:val="69BD25D0"/>
    <w:rsid w:val="6A1730CA"/>
    <w:rsid w:val="6A33233D"/>
    <w:rsid w:val="6A88415A"/>
    <w:rsid w:val="6AFE6FAA"/>
    <w:rsid w:val="6B2009D5"/>
    <w:rsid w:val="6B533C17"/>
    <w:rsid w:val="6BA617D2"/>
    <w:rsid w:val="6BB973ED"/>
    <w:rsid w:val="6BCC758B"/>
    <w:rsid w:val="6C5A6EC8"/>
    <w:rsid w:val="6D6432C5"/>
    <w:rsid w:val="6D68605C"/>
    <w:rsid w:val="6D692946"/>
    <w:rsid w:val="6DCC4BD3"/>
    <w:rsid w:val="6DF413C5"/>
    <w:rsid w:val="6E965D59"/>
    <w:rsid w:val="6EAF7543"/>
    <w:rsid w:val="6EBD3FAC"/>
    <w:rsid w:val="6EF959BC"/>
    <w:rsid w:val="6F5C6481"/>
    <w:rsid w:val="6F8E45BC"/>
    <w:rsid w:val="6F901F07"/>
    <w:rsid w:val="6FA665A6"/>
    <w:rsid w:val="6FB3610E"/>
    <w:rsid w:val="6FD45398"/>
    <w:rsid w:val="6FDD4D6B"/>
    <w:rsid w:val="70390E66"/>
    <w:rsid w:val="704C7282"/>
    <w:rsid w:val="70D67037"/>
    <w:rsid w:val="70DC6FB8"/>
    <w:rsid w:val="70EC49AE"/>
    <w:rsid w:val="70F574F2"/>
    <w:rsid w:val="711404F8"/>
    <w:rsid w:val="71291E2C"/>
    <w:rsid w:val="7135696F"/>
    <w:rsid w:val="713A24A7"/>
    <w:rsid w:val="715215D5"/>
    <w:rsid w:val="71582D07"/>
    <w:rsid w:val="7159690E"/>
    <w:rsid w:val="71850CD9"/>
    <w:rsid w:val="71F71538"/>
    <w:rsid w:val="722C0BFF"/>
    <w:rsid w:val="72952E6E"/>
    <w:rsid w:val="72B654DE"/>
    <w:rsid w:val="73142AD7"/>
    <w:rsid w:val="734359DE"/>
    <w:rsid w:val="734B4C3E"/>
    <w:rsid w:val="73873F40"/>
    <w:rsid w:val="73927CFE"/>
    <w:rsid w:val="73BC5AD9"/>
    <w:rsid w:val="743C4CEA"/>
    <w:rsid w:val="74610332"/>
    <w:rsid w:val="74894EF3"/>
    <w:rsid w:val="74980BA6"/>
    <w:rsid w:val="74B12652"/>
    <w:rsid w:val="74DF2843"/>
    <w:rsid w:val="75214678"/>
    <w:rsid w:val="75632A66"/>
    <w:rsid w:val="759848F7"/>
    <w:rsid w:val="759E0FB1"/>
    <w:rsid w:val="76421559"/>
    <w:rsid w:val="764D1C01"/>
    <w:rsid w:val="765D7B99"/>
    <w:rsid w:val="76C6779B"/>
    <w:rsid w:val="76D452AF"/>
    <w:rsid w:val="76F66791"/>
    <w:rsid w:val="772E7A2D"/>
    <w:rsid w:val="78340447"/>
    <w:rsid w:val="783F0B6E"/>
    <w:rsid w:val="78422AC1"/>
    <w:rsid w:val="785036AB"/>
    <w:rsid w:val="78593D75"/>
    <w:rsid w:val="78F56666"/>
    <w:rsid w:val="79164F33"/>
    <w:rsid w:val="79216A1F"/>
    <w:rsid w:val="79C70B90"/>
    <w:rsid w:val="79E77FA9"/>
    <w:rsid w:val="79F94A81"/>
    <w:rsid w:val="7A350C02"/>
    <w:rsid w:val="7A8333F9"/>
    <w:rsid w:val="7A8E7F0B"/>
    <w:rsid w:val="7AC06F63"/>
    <w:rsid w:val="7ACA1E30"/>
    <w:rsid w:val="7ACD62E1"/>
    <w:rsid w:val="7B675264"/>
    <w:rsid w:val="7B8515EA"/>
    <w:rsid w:val="7BA028BB"/>
    <w:rsid w:val="7BD32392"/>
    <w:rsid w:val="7BE71A98"/>
    <w:rsid w:val="7C214815"/>
    <w:rsid w:val="7C6349A9"/>
    <w:rsid w:val="7C9D3B1C"/>
    <w:rsid w:val="7CE70EAD"/>
    <w:rsid w:val="7CE908BA"/>
    <w:rsid w:val="7D2F66B3"/>
    <w:rsid w:val="7D31427A"/>
    <w:rsid w:val="7D564542"/>
    <w:rsid w:val="7D75194E"/>
    <w:rsid w:val="7DB1356C"/>
    <w:rsid w:val="7E4339B3"/>
    <w:rsid w:val="7E447317"/>
    <w:rsid w:val="7E4E04AC"/>
    <w:rsid w:val="7E813212"/>
    <w:rsid w:val="7EF25A1F"/>
    <w:rsid w:val="7EFF7750"/>
    <w:rsid w:val="7F121DC3"/>
    <w:rsid w:val="7F3C6671"/>
    <w:rsid w:val="7F4F04D8"/>
    <w:rsid w:val="7F517173"/>
    <w:rsid w:val="7F536173"/>
    <w:rsid w:val="7FA73C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50"/>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5"/>
    <w:next w:val="1"/>
    <w:qFormat/>
    <w:uiPriority w:val="0"/>
    <w:pPr>
      <w:keepNext/>
      <w:keepLines/>
      <w:widowControl w:val="0"/>
      <w:spacing w:before="120" w:after="120" w:line="312" w:lineRule="auto"/>
      <w:outlineLvl w:val="2"/>
    </w:pPr>
    <w:rPr>
      <w:rFonts w:ascii="Calibri" w:hAnsi="Calibri" w:eastAsia="黑体"/>
      <w:b w:val="0"/>
      <w:kern w:val="2"/>
      <w:sz w:val="28"/>
    </w:rPr>
  </w:style>
  <w:style w:type="paragraph" w:styleId="7">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3"/>
    <w:semiHidden/>
    <w:unhideWhenUsed/>
    <w:qFormat/>
    <w:uiPriority w:val="99"/>
    <w:pPr>
      <w:spacing w:after="120"/>
    </w:pPr>
  </w:style>
  <w:style w:type="paragraph" w:customStyle="1" w:styleId="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7"/>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8"/>
    <w:semiHidden/>
    <w:unhideWhenUsed/>
    <w:qFormat/>
    <w:uiPriority w:val="99"/>
    <w:pPr>
      <w:spacing w:after="120"/>
    </w:pPr>
    <w:rPr>
      <w:sz w:val="16"/>
      <w:szCs w:val="16"/>
    </w:rPr>
  </w:style>
  <w:style w:type="paragraph" w:styleId="15">
    <w:name w:val="Body Text Indent"/>
    <w:basedOn w:val="1"/>
    <w:qFormat/>
    <w:uiPriority w:val="0"/>
    <w:pPr>
      <w:spacing w:after="120"/>
      <w:ind w:left="420" w:leftChars="200"/>
    </w:p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69"/>
    <w:qFormat/>
    <w:uiPriority w:val="99"/>
    <w:pPr>
      <w:ind w:left="100" w:leftChars="2500"/>
    </w:pPr>
    <w:rPr>
      <w:rFonts w:asciiTheme="minorHAnsi" w:hAnsiTheme="minorHAnsi" w:eastAsiaTheme="minorEastAsia" w:cstheme="minorBidi"/>
    </w:rPr>
  </w:style>
  <w:style w:type="paragraph" w:styleId="20">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6"/>
    <w:semiHidden/>
    <w:qFormat/>
    <w:uiPriority w:val="0"/>
    <w:pPr>
      <w:snapToGrid w:val="0"/>
    </w:pPr>
    <w:rPr>
      <w:rFonts w:asciiTheme="minorHAnsi" w:hAnsiTheme="minorHAnsi" w:eastAsiaTheme="minorEastAsia" w:cstheme="minorBidi"/>
    </w:rPr>
  </w:style>
  <w:style w:type="paragraph" w:styleId="22">
    <w:name w:val="Balloon Text"/>
    <w:basedOn w:val="1"/>
    <w:link w:val="145"/>
    <w:qFormat/>
    <w:uiPriority w:val="99"/>
    <w:rPr>
      <w:rFonts w:asciiTheme="minorHAnsi" w:hAnsiTheme="minorHAnsi" w:eastAsiaTheme="minorEastAsia" w:cstheme="minorBidi"/>
      <w:sz w:val="18"/>
      <w:szCs w:val="18"/>
    </w:rPr>
  </w:style>
  <w:style w:type="paragraph" w:styleId="23">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8"/>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3"/>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2"/>
    <w:next w:val="12"/>
    <w:link w:val="175"/>
    <w:semiHidden/>
    <w:qFormat/>
    <w:uiPriority w:val="0"/>
    <w:rPr>
      <w:b/>
      <w:bCs/>
    </w:rPr>
  </w:style>
  <w:style w:type="paragraph" w:styleId="37">
    <w:name w:val="Body Text First Indent"/>
    <w:basedOn w:val="2"/>
    <w:qFormat/>
    <w:uiPriority w:val="0"/>
    <w:pPr>
      <w:autoSpaceDE w:val="0"/>
      <w:autoSpaceDN w:val="0"/>
      <w:adjustRightInd w:val="0"/>
      <w:ind w:firstLine="420"/>
      <w:textAlignment w:val="baseline"/>
    </w:pPr>
    <w:rPr>
      <w:rFonts w:ascii="宋体"/>
      <w:sz w:val="34"/>
    </w:rPr>
  </w:style>
  <w:style w:type="paragraph" w:styleId="38">
    <w:name w:val="Body Text First Indent 2"/>
    <w:basedOn w:val="15"/>
    <w:unhideWhenUsed/>
    <w:qFormat/>
    <w:uiPriority w:val="99"/>
    <w:pPr>
      <w:autoSpaceDE w:val="0"/>
      <w:autoSpaceDN w:val="0"/>
      <w:adjustRightInd w:val="0"/>
    </w:pPr>
    <w:rPr>
      <w:kern w:val="0"/>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qFormat/>
    <w:uiPriority w:val="99"/>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qFormat/>
    <w:uiPriority w:val="20"/>
    <w:rPr>
      <w:color w:val="CC0000"/>
    </w:rPr>
  </w:style>
  <w:style w:type="character" w:styleId="46">
    <w:name w:val="Hyperlink"/>
    <w:qFormat/>
    <w:uiPriority w:val="99"/>
    <w:rPr>
      <w:color w:val="0000FF"/>
      <w:spacing w:val="0"/>
      <w:w w:val="100"/>
      <w:szCs w:val="21"/>
      <w:u w:val="single"/>
      <w:lang w:val="en-US" w:eastAsia="zh-CN"/>
    </w:rPr>
  </w:style>
  <w:style w:type="character" w:styleId="47">
    <w:name w:val="footnote reference"/>
    <w:qFormat/>
    <w:uiPriority w:val="0"/>
    <w:rPr>
      <w:vertAlign w:val="superscript"/>
    </w:rPr>
  </w:style>
  <w:style w:type="paragraph" w:customStyle="1" w:styleId="48">
    <w:name w:val="Body Text Indent 21"/>
    <w:basedOn w:val="1"/>
    <w:next w:val="24"/>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字符"/>
    <w:basedOn w:val="41"/>
    <w:link w:val="4"/>
    <w:qFormat/>
    <w:uiPriority w:val="0"/>
    <w:rPr>
      <w:rFonts w:ascii="Times New Roman" w:hAnsi="Times New Roman" w:eastAsia="宋体" w:cs="Times New Roman"/>
      <w:b/>
      <w:bCs/>
      <w:kern w:val="44"/>
      <w:sz w:val="44"/>
      <w:szCs w:val="44"/>
    </w:rPr>
  </w:style>
  <w:style w:type="character" w:customStyle="1" w:styleId="50">
    <w:name w:val="标题 2 字符"/>
    <w:basedOn w:val="41"/>
    <w:link w:val="5"/>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1"/>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wrap="around"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8"/>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framePr w:wrap="around"/>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wrap="around"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wrap="around"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字符"/>
    <w:basedOn w:val="41"/>
    <w:link w:val="22"/>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字符"/>
    <w:basedOn w:val="41"/>
    <w:link w:val="24"/>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wrap="around"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字符"/>
    <w:basedOn w:val="41"/>
    <w:link w:val="32"/>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字符"/>
    <w:basedOn w:val="41"/>
    <w:link w:val="28"/>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字符"/>
    <w:basedOn w:val="41"/>
    <w:link w:val="20"/>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wrap="around" w:y="4469"/>
    </w:pPr>
  </w:style>
  <w:style w:type="paragraph" w:customStyle="1" w:styleId="161">
    <w:name w:val="封面标准文稿编辑信息"/>
    <w:basedOn w:val="117"/>
    <w:qFormat/>
    <w:uiPriority w:val="0"/>
    <w:pPr>
      <w:framePr w:wrap="around"/>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字符"/>
    <w:basedOn w:val="41"/>
    <w:link w:val="23"/>
    <w:semiHidden/>
    <w:qFormat/>
    <w:uiPriority w:val="99"/>
    <w:rPr>
      <w:rFonts w:ascii="Times New Roman" w:hAnsi="Times New Roman" w:eastAsia="宋体" w:cs="Times New Roman"/>
      <w:sz w:val="18"/>
      <w:szCs w:val="18"/>
    </w:rPr>
  </w:style>
  <w:style w:type="character" w:customStyle="1" w:styleId="167">
    <w:name w:val="批注文字 字符"/>
    <w:basedOn w:val="41"/>
    <w:link w:val="12"/>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wrap="around" w:y="4469"/>
      <w:spacing w:beforeLines="630"/>
    </w:pPr>
  </w:style>
  <w:style w:type="character" w:customStyle="1" w:styleId="169">
    <w:name w:val="日期 字符"/>
    <w:basedOn w:val="41"/>
    <w:link w:val="19"/>
    <w:semiHidden/>
    <w:qFormat/>
    <w:uiPriority w:val="99"/>
    <w:rPr>
      <w:rFonts w:ascii="Times New Roman" w:hAnsi="Times New Roman" w:eastAsia="宋体" w:cs="Times New Roman"/>
      <w:szCs w:val="24"/>
    </w:rPr>
  </w:style>
  <w:style w:type="character" w:customStyle="1" w:styleId="170">
    <w:name w:val="文档结构图 字符"/>
    <w:basedOn w:val="41"/>
    <w:link w:val="11"/>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wrap="around"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字符"/>
    <w:basedOn w:val="167"/>
    <w:link w:val="36"/>
    <w:semiHidden/>
    <w:qFormat/>
    <w:uiPriority w:val="99"/>
    <w:rPr>
      <w:rFonts w:ascii="Times New Roman" w:hAnsi="Times New Roman" w:eastAsia="宋体" w:cs="Times New Roman"/>
      <w:b/>
      <w:bCs/>
      <w:szCs w:val="24"/>
    </w:rPr>
  </w:style>
  <w:style w:type="character" w:customStyle="1" w:styleId="176">
    <w:name w:val="尾注文本 字符"/>
    <w:basedOn w:val="41"/>
    <w:link w:val="21"/>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字符"/>
    <w:basedOn w:val="41"/>
    <w:link w:val="14"/>
    <w:semiHidden/>
    <w:qFormat/>
    <w:uiPriority w:val="99"/>
    <w:rPr>
      <w:rFonts w:ascii="Times New Roman" w:hAnsi="Times New Roman" w:eastAsia="宋体" w:cs="Times New Roman"/>
      <w:sz w:val="16"/>
      <w:szCs w:val="16"/>
    </w:rPr>
  </w:style>
  <w:style w:type="character" w:customStyle="1" w:styleId="179">
    <w:name w:val="标题 字符"/>
    <w:basedOn w:val="41"/>
    <w:link w:val="35"/>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字符"/>
    <w:basedOn w:val="41"/>
    <w:link w:val="17"/>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字符"/>
    <w:basedOn w:val="41"/>
    <w:link w:val="2"/>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字符"/>
    <w:basedOn w:val="41"/>
    <w:link w:val="7"/>
    <w:semiHidden/>
    <w:qFormat/>
    <w:uiPriority w:val="9"/>
    <w:rPr>
      <w:rFonts w:asciiTheme="majorHAnsi" w:hAnsiTheme="majorHAnsi" w:eastAsiaTheme="majorEastAsia" w:cstheme="majorBidi"/>
      <w:b/>
      <w:bCs/>
      <w:kern w:val="2"/>
      <w:sz w:val="28"/>
      <w:szCs w:val="28"/>
    </w:rPr>
  </w:style>
  <w:style w:type="paragraph" w:customStyle="1" w:styleId="186">
    <w:name w:val="_Style 2"/>
    <w:basedOn w:val="4"/>
    <w:next w:val="1"/>
    <w:qFormat/>
    <w:uiPriority w:val="0"/>
    <w:pPr>
      <w:spacing w:before="480" w:after="0" w:line="276" w:lineRule="auto"/>
      <w:outlineLvl w:val="9"/>
    </w:pPr>
    <w:rPr>
      <w:rFonts w:ascii="Cambria" w:hAnsi="Cambria"/>
      <w:color w:val="365F91"/>
      <w:kern w:val="0"/>
      <w:sz w:val="28"/>
      <w:szCs w:val="28"/>
    </w:rPr>
  </w:style>
  <w:style w:type="table" w:customStyle="1" w:styleId="187">
    <w:name w:val="网格型5"/>
    <w:basedOn w:val="39"/>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12DD-0A11-47BF-848C-E81F3A827B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24768</Words>
  <Characters>26124</Characters>
  <Lines>191</Lines>
  <Paragraphs>53</Paragraphs>
  <TotalTime>5</TotalTime>
  <ScaleCrop>false</ScaleCrop>
  <LinksUpToDate>false</LinksUpToDate>
  <CharactersWithSpaces>28130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2022-06-08T09:50:00Z</cp:lastPrinted>
  <dcterms:modified xsi:type="dcterms:W3CDTF">2023-08-03T03:33:15Z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F81AD4B5AA8948C493044283641742DC</vt:lpwstr>
  </property>
  <property fmtid="{D5CDD505-2E9C-101B-9397-08002B2CF9AE}" pid="4" name="commondata">
    <vt:lpwstr>eyJoZGlkIjoiZjc2MzE4MjRhZTJhYTg4YWE5N2Y0YTFlOGY4YTA3YmIifQ==</vt:lpwstr>
  </property>
</Properties>
</file>