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楷体" w:hAnsi="楷体" w:eastAsia="楷体" w:cs="微软雅黑"/>
          <w:b/>
          <w:sz w:val="56"/>
          <w:szCs w:val="72"/>
        </w:rPr>
      </w:pPr>
    </w:p>
    <w:p>
      <w:pPr>
        <w:snapToGrid w:val="0"/>
        <w:spacing w:line="360" w:lineRule="auto"/>
        <w:jc w:val="center"/>
        <w:rPr>
          <w:rFonts w:ascii="黑体" w:hAnsi="黑体" w:eastAsia="黑体"/>
          <w:b/>
          <w:bCs/>
          <w:sz w:val="52"/>
          <w:szCs w:val="52"/>
        </w:rPr>
      </w:pPr>
      <w:r>
        <w:rPr>
          <w:rFonts w:hint="eastAsia" w:ascii="黑体" w:hAnsi="黑体" w:eastAsia="黑体"/>
          <w:b/>
          <w:bCs/>
          <w:sz w:val="52"/>
          <w:szCs w:val="52"/>
        </w:rPr>
        <w:t>岳阳</w:t>
      </w:r>
      <w:r>
        <w:rPr>
          <w:rFonts w:ascii="黑体" w:hAnsi="黑体" w:eastAsia="黑体"/>
          <w:b/>
          <w:bCs/>
          <w:sz w:val="52"/>
          <w:szCs w:val="52"/>
        </w:rPr>
        <w:t>城陵矶新港有限</w:t>
      </w:r>
      <w:r>
        <w:rPr>
          <w:rFonts w:hint="eastAsia" w:ascii="黑体" w:hAnsi="黑体" w:eastAsia="黑体"/>
          <w:b/>
          <w:bCs/>
          <w:sz w:val="52"/>
          <w:szCs w:val="52"/>
        </w:rPr>
        <w:t>公司</w:t>
      </w:r>
    </w:p>
    <w:p>
      <w:pPr>
        <w:pStyle w:val="2"/>
        <w:spacing w:line="360" w:lineRule="auto"/>
        <w:ind w:left="0" w:leftChars="0" w:firstLine="0" w:firstLineChars="0"/>
        <w:rPr>
          <w:rFonts w:ascii="黑体" w:hAnsi="黑体" w:eastAsia="黑体"/>
          <w:b/>
          <w:bCs/>
          <w:sz w:val="52"/>
          <w:szCs w:val="52"/>
        </w:rPr>
      </w:pPr>
    </w:p>
    <w:p>
      <w:pPr>
        <w:pStyle w:val="2"/>
        <w:spacing w:line="360" w:lineRule="auto"/>
        <w:rPr>
          <w:rFonts w:ascii="黑体" w:hAnsi="黑体" w:eastAsia="黑体"/>
          <w:b/>
          <w:bCs/>
          <w:sz w:val="52"/>
          <w:szCs w:val="52"/>
        </w:rPr>
      </w:pPr>
    </w:p>
    <w:p>
      <w:pPr>
        <w:pStyle w:val="2"/>
        <w:spacing w:line="360" w:lineRule="auto"/>
        <w:rPr>
          <w:rFonts w:ascii="黑体" w:hAnsi="黑体" w:eastAsia="黑体"/>
          <w:b/>
          <w:bCs/>
          <w:sz w:val="52"/>
          <w:szCs w:val="52"/>
        </w:rPr>
      </w:pPr>
    </w:p>
    <w:p>
      <w:pPr>
        <w:spacing w:line="360" w:lineRule="auto"/>
        <w:jc w:val="center"/>
        <w:rPr>
          <w:rFonts w:ascii="黑体" w:hAnsi="黑体" w:eastAsia="黑体"/>
          <w:b/>
          <w:bCs/>
          <w:sz w:val="52"/>
          <w:szCs w:val="52"/>
        </w:rPr>
      </w:pPr>
      <w:r>
        <w:rPr>
          <w:rFonts w:hint="eastAsia" w:ascii="黑体" w:hAnsi="黑体" w:eastAsia="黑体"/>
          <w:b/>
          <w:bCs/>
          <w:sz w:val="52"/>
          <w:szCs w:val="52"/>
          <w:lang w:eastAsia="zh-Hans"/>
        </w:rPr>
        <w:t>信息化综合故障检测系统</w:t>
      </w:r>
      <w:r>
        <w:rPr>
          <w:rFonts w:hint="eastAsia" w:ascii="黑体" w:hAnsi="黑体" w:eastAsia="黑体"/>
          <w:b/>
          <w:bCs/>
          <w:sz w:val="52"/>
          <w:szCs w:val="52"/>
        </w:rPr>
        <w:t>采购项目</w:t>
      </w:r>
    </w:p>
    <w:p>
      <w:pPr>
        <w:spacing w:line="360" w:lineRule="auto"/>
        <w:jc w:val="center"/>
        <w:rPr>
          <w:rFonts w:ascii="黑体" w:hAnsi="黑体" w:eastAsia="黑体"/>
          <w:b/>
          <w:bCs/>
          <w:sz w:val="52"/>
          <w:szCs w:val="52"/>
        </w:rPr>
      </w:pPr>
      <w:r>
        <w:rPr>
          <w:rFonts w:hint="eastAsia" w:ascii="黑体" w:hAnsi="黑体" w:eastAsia="黑体"/>
          <w:b/>
          <w:bCs/>
          <w:sz w:val="52"/>
          <w:szCs w:val="52"/>
        </w:rPr>
        <w:t>询价文件</w:t>
      </w:r>
    </w:p>
    <w:p>
      <w:pPr>
        <w:pStyle w:val="2"/>
        <w:spacing w:line="360" w:lineRule="auto"/>
        <w:rPr>
          <w:rFonts w:ascii="黑体" w:hAnsi="黑体" w:eastAsia="黑体" w:cs="黑体"/>
          <w:b/>
          <w:bCs/>
          <w:sz w:val="30"/>
          <w:szCs w:val="30"/>
        </w:rPr>
      </w:pPr>
      <w:r>
        <w:rPr>
          <w:rFonts w:hint="eastAsia" w:ascii="黑体" w:hAnsi="黑体" w:eastAsia="黑体"/>
          <w:b/>
          <w:bCs/>
          <w:sz w:val="2"/>
          <w:szCs w:val="2"/>
        </w:rPr>
        <w:t>I</w:t>
      </w:r>
    </w:p>
    <w:p>
      <w:pPr>
        <w:spacing w:line="360" w:lineRule="auto"/>
        <w:jc w:val="center"/>
        <w:rPr>
          <w:rFonts w:hint="default" w:eastAsia="宋体"/>
          <w:sz w:val="22"/>
          <w:szCs w:val="28"/>
          <w:lang w:val="en-US" w:eastAsia="zh-CN"/>
        </w:rPr>
      </w:pPr>
      <w:r>
        <w:rPr>
          <w:rFonts w:hint="eastAsia"/>
          <w:sz w:val="22"/>
          <w:szCs w:val="28"/>
          <w:lang w:val="en-US" w:eastAsia="zh-CN"/>
        </w:rPr>
        <w:t>编号：省港货（2023）年询第10号[新港]</w:t>
      </w:r>
    </w:p>
    <w:p>
      <w:pPr>
        <w:spacing w:line="360" w:lineRule="auto"/>
      </w:pPr>
    </w:p>
    <w:p>
      <w:pPr>
        <w:pStyle w:val="38"/>
        <w:spacing w:line="360" w:lineRule="auto"/>
        <w:ind w:left="0" w:firstLine="0"/>
      </w:pPr>
    </w:p>
    <w:p>
      <w:pPr>
        <w:pStyle w:val="38"/>
        <w:spacing w:line="360" w:lineRule="auto"/>
      </w:pPr>
    </w:p>
    <w:p>
      <w:pPr>
        <w:pStyle w:val="38"/>
        <w:spacing w:line="360" w:lineRule="auto"/>
      </w:pPr>
    </w:p>
    <w:p>
      <w:pPr>
        <w:pStyle w:val="38"/>
        <w:spacing w:line="360" w:lineRule="auto"/>
      </w:pPr>
    </w:p>
    <w:p>
      <w:pPr>
        <w:pStyle w:val="38"/>
        <w:spacing w:line="360" w:lineRule="auto"/>
      </w:pPr>
    </w:p>
    <w:p>
      <w:pPr>
        <w:pStyle w:val="38"/>
        <w:spacing w:line="360" w:lineRule="auto"/>
      </w:pPr>
    </w:p>
    <w:p>
      <w:pPr>
        <w:pStyle w:val="38"/>
        <w:spacing w:line="360" w:lineRule="auto"/>
      </w:pPr>
    </w:p>
    <w:p>
      <w:pPr>
        <w:spacing w:line="360" w:lineRule="auto"/>
      </w:pPr>
    </w:p>
    <w:p>
      <w:pPr>
        <w:tabs>
          <w:tab w:val="left" w:pos="0"/>
          <w:tab w:val="left" w:pos="4185"/>
        </w:tabs>
        <w:spacing w:line="360" w:lineRule="auto"/>
        <w:ind w:right="-6"/>
        <w:jc w:val="center"/>
        <w:rPr>
          <w:rFonts w:ascii="黑体" w:hAnsi="黑体" w:eastAsia="黑体"/>
          <w:bCs/>
          <w:sz w:val="44"/>
          <w:szCs w:val="44"/>
        </w:rPr>
      </w:pPr>
      <w:r>
        <w:rPr>
          <w:rFonts w:hint="eastAsia" w:ascii="黑体" w:hAnsi="黑体" w:eastAsia="黑体"/>
          <w:bCs/>
          <w:sz w:val="44"/>
          <w:szCs w:val="44"/>
        </w:rPr>
        <w:t>岳阳</w:t>
      </w:r>
      <w:r>
        <w:rPr>
          <w:rFonts w:ascii="黑体" w:hAnsi="黑体" w:eastAsia="黑体"/>
          <w:bCs/>
          <w:sz w:val="44"/>
          <w:szCs w:val="44"/>
        </w:rPr>
        <w:t>城陵矶新港有限</w:t>
      </w:r>
      <w:r>
        <w:rPr>
          <w:rFonts w:hint="eastAsia" w:ascii="黑体" w:hAnsi="黑体" w:eastAsia="黑体"/>
          <w:bCs/>
          <w:sz w:val="44"/>
          <w:szCs w:val="44"/>
        </w:rPr>
        <w:t>公司</w:t>
      </w:r>
    </w:p>
    <w:p>
      <w:pPr>
        <w:tabs>
          <w:tab w:val="left" w:pos="0"/>
          <w:tab w:val="left" w:pos="4185"/>
        </w:tabs>
        <w:spacing w:line="360" w:lineRule="auto"/>
        <w:ind w:right="-6"/>
        <w:jc w:val="center"/>
        <w:rPr>
          <w:rFonts w:ascii="黑体" w:hAnsi="黑体" w:eastAsia="黑体"/>
          <w:bCs/>
          <w:sz w:val="44"/>
          <w:szCs w:val="44"/>
        </w:rPr>
      </w:pPr>
      <w:r>
        <w:rPr>
          <w:rFonts w:hint="eastAsia" w:ascii="黑体" w:hAnsi="黑体" w:eastAsia="黑体"/>
          <w:bCs/>
          <w:sz w:val="44"/>
          <w:szCs w:val="44"/>
        </w:rPr>
        <w:t>二О二</w:t>
      </w:r>
      <w:r>
        <w:rPr>
          <w:rFonts w:hint="eastAsia" w:ascii="黑体" w:hAnsi="黑体" w:eastAsia="黑体"/>
          <w:bCs/>
          <w:sz w:val="44"/>
          <w:szCs w:val="44"/>
          <w:lang w:eastAsia="zh-Hans"/>
        </w:rPr>
        <w:t>三</w:t>
      </w:r>
      <w:r>
        <w:rPr>
          <w:rFonts w:hint="eastAsia" w:ascii="黑体" w:hAnsi="黑体" w:eastAsia="黑体"/>
          <w:bCs/>
          <w:sz w:val="44"/>
          <w:szCs w:val="44"/>
        </w:rPr>
        <w:t>年</w:t>
      </w:r>
      <w:r>
        <w:rPr>
          <w:rFonts w:hint="eastAsia" w:ascii="黑体" w:hAnsi="黑体" w:eastAsia="黑体"/>
          <w:bCs/>
          <w:sz w:val="44"/>
          <w:szCs w:val="44"/>
          <w:lang w:val="en-US" w:eastAsia="zh-CN"/>
        </w:rPr>
        <w:t>五</w:t>
      </w:r>
      <w:r>
        <w:rPr>
          <w:rFonts w:hint="eastAsia" w:ascii="黑体" w:hAnsi="黑体" w:eastAsia="黑体"/>
          <w:bCs/>
          <w:sz w:val="44"/>
          <w:szCs w:val="44"/>
        </w:rPr>
        <w:t>月</w:t>
      </w:r>
    </w:p>
    <w:p>
      <w:pPr>
        <w:spacing w:line="360" w:lineRule="auto"/>
        <w:rPr>
          <w:rFonts w:ascii="黑体" w:hAnsi="黑体" w:eastAsia="黑体"/>
          <w:sz w:val="44"/>
          <w:szCs w:val="44"/>
          <w:lang w:val="zh-CN"/>
        </w:rPr>
      </w:pPr>
      <w:r>
        <w:rPr>
          <w:rFonts w:ascii="黑体" w:hAnsi="黑体" w:eastAsia="黑体"/>
          <w:sz w:val="44"/>
          <w:szCs w:val="44"/>
          <w:lang w:val="zh-CN"/>
        </w:rPr>
        <w:br w:type="page"/>
      </w:r>
    </w:p>
    <w:p>
      <w:pPr>
        <w:pStyle w:val="187"/>
        <w:keepNext w:val="0"/>
        <w:keepLines w:val="0"/>
        <w:widowControl w:val="0"/>
        <w:spacing w:before="0" w:line="360" w:lineRule="auto"/>
        <w:jc w:val="center"/>
        <w:rPr>
          <w:rFonts w:ascii="黑体" w:hAnsi="黑体" w:eastAsia="黑体"/>
          <w:b w:val="0"/>
          <w:color w:val="auto"/>
          <w:sz w:val="44"/>
          <w:szCs w:val="44"/>
          <w:lang w:val="zh-CN"/>
        </w:rPr>
      </w:pPr>
      <w:r>
        <w:rPr>
          <w:rFonts w:ascii="黑体" w:hAnsi="黑体" w:eastAsia="黑体"/>
          <w:b w:val="0"/>
          <w:color w:val="auto"/>
          <w:sz w:val="44"/>
          <w:szCs w:val="44"/>
          <w:lang w:val="zh-CN"/>
        </w:rPr>
        <w:t>目    录</w:t>
      </w:r>
    </w:p>
    <w:p>
      <w:pPr>
        <w:pStyle w:val="26"/>
        <w:widowControl w:val="0"/>
        <w:tabs>
          <w:tab w:val="right" w:leader="dot" w:pos="8948"/>
          <w:tab w:val="clear" w:pos="9242"/>
        </w:tabs>
        <w:adjustRightInd w:val="0"/>
        <w:snapToGrid w:val="0"/>
        <w:spacing w:beforeLines="0" w:afterLines="0" w:line="360" w:lineRule="auto"/>
        <w:ind w:firstLine="480" w:firstLineChars="200"/>
        <w:jc w:val="both"/>
        <w:rPr>
          <w:rFonts w:hAnsi="宋体" w:cs="宋体"/>
          <w:sz w:val="24"/>
          <w:szCs w:val="24"/>
        </w:rPr>
      </w:pPr>
    </w:p>
    <w:sdt>
      <w:sdtPr>
        <w:rPr>
          <w:rFonts w:hint="eastAsia" w:ascii="宋体" w:hAnsi="宋体" w:cs="宋体"/>
          <w:sz w:val="24"/>
        </w:rPr>
        <w:id w:val="147478620"/>
        <w15:color w:val="DBDBDB"/>
      </w:sdtPr>
      <w:sdtEndPr>
        <w:rPr>
          <w:rFonts w:hint="eastAsia" w:ascii="Times New Roman" w:hAnsi="Times New Roman" w:cs="Times New Roman"/>
          <w:sz w:val="21"/>
        </w:rPr>
      </w:sdtEndPr>
      <w:sdtContent>
        <w:p>
          <w:pPr>
            <w:spacing w:line="360" w:lineRule="auto"/>
            <w:jc w:val="center"/>
            <w:rPr>
              <w:rFonts w:ascii="宋体" w:hAnsi="宋体" w:cs="宋体"/>
              <w:sz w:val="24"/>
            </w:rPr>
          </w:pPr>
        </w:p>
        <w:p>
          <w:pPr>
            <w:pStyle w:val="188"/>
            <w:tabs>
              <w:tab w:val="right" w:leader="dot" w:pos="8300"/>
            </w:tabs>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TOC \o "1-1" \h \u </w:instrText>
          </w:r>
          <w:r>
            <w:rPr>
              <w:rFonts w:hint="eastAsia" w:ascii="微软雅黑" w:hAnsi="微软雅黑" w:eastAsia="微软雅黑" w:cs="微软雅黑"/>
              <w:sz w:val="24"/>
              <w:szCs w:val="24"/>
            </w:rPr>
            <w:fldChar w:fldCharType="separate"/>
          </w:r>
          <w:r>
            <w:fldChar w:fldCharType="begin"/>
          </w:r>
          <w:r>
            <w:instrText xml:space="preserve"> HYPERLINK \l "_Toc25723" </w:instrText>
          </w:r>
          <w:r>
            <w:fldChar w:fldCharType="separate"/>
          </w:r>
          <w:r>
            <w:rPr>
              <w:rFonts w:hint="eastAsia" w:ascii="微软雅黑" w:hAnsi="微软雅黑" w:eastAsia="微软雅黑" w:cs="微软雅黑"/>
              <w:sz w:val="24"/>
              <w:szCs w:val="24"/>
            </w:rPr>
            <w:t>第一章 采购公告</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_Toc25723 \h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3</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"_Toc4462" </w:instrText>
          </w:r>
          <w:r>
            <w:fldChar w:fldCharType="separate"/>
          </w:r>
          <w:r>
            <w:rPr>
              <w:rFonts w:hint="eastAsia" w:ascii="微软雅黑" w:hAnsi="微软雅黑" w:eastAsia="微软雅黑" w:cs="微软雅黑"/>
              <w:sz w:val="24"/>
              <w:szCs w:val="24"/>
            </w:rPr>
            <w:t>第二章 供应商须知</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_Toc4462 \h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"_Toc2458" </w:instrText>
          </w:r>
          <w:r>
            <w:fldChar w:fldCharType="separate"/>
          </w:r>
          <w:r>
            <w:rPr>
              <w:rFonts w:hint="eastAsia" w:ascii="微软雅黑" w:hAnsi="微软雅黑" w:eastAsia="微软雅黑" w:cs="微软雅黑"/>
              <w:sz w:val="24"/>
              <w:szCs w:val="24"/>
            </w:rPr>
            <w:t>第三章 评审办法</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_Toc2458 \h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24</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"_Toc9329" </w:instrText>
          </w:r>
          <w:r>
            <w:fldChar w:fldCharType="separate"/>
          </w:r>
          <w:r>
            <w:rPr>
              <w:rFonts w:hint="eastAsia" w:ascii="微软雅黑" w:hAnsi="微软雅黑" w:eastAsia="微软雅黑" w:cs="微软雅黑"/>
              <w:sz w:val="24"/>
              <w:szCs w:val="24"/>
            </w:rPr>
            <w:t>第四章 合同条款及格式</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2</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7</w:t>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"_Toc25367" </w:instrText>
          </w:r>
          <w:r>
            <w:fldChar w:fldCharType="separate"/>
          </w:r>
          <w:r>
            <w:rPr>
              <w:rFonts w:hint="eastAsia" w:ascii="微软雅黑" w:hAnsi="微软雅黑" w:eastAsia="微软雅黑" w:cs="微软雅黑"/>
              <w:sz w:val="24"/>
              <w:szCs w:val="24"/>
            </w:rPr>
            <w:t>第五章 采购需求</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40</w:t>
          </w:r>
        </w:p>
        <w:p>
          <w:pPr>
            <w:pStyle w:val="188"/>
            <w:tabs>
              <w:tab w:val="right" w:leader="dot" w:pos="8300"/>
            </w:tabs>
            <w:spacing w:line="360" w:lineRule="auto"/>
            <w:rPr>
              <w:rFonts w:ascii="微软雅黑" w:hAnsi="微软雅黑" w:eastAsia="微软雅黑" w:cs="微软雅黑"/>
              <w:sz w:val="24"/>
              <w:szCs w:val="24"/>
            </w:rPr>
          </w:pPr>
          <w:r>
            <w:fldChar w:fldCharType="begin"/>
          </w:r>
          <w:r>
            <w:instrText xml:space="preserve"> HYPERLINK \l "_Toc3928" </w:instrText>
          </w:r>
          <w:r>
            <w:fldChar w:fldCharType="separate"/>
          </w:r>
          <w:r>
            <w:rPr>
              <w:rFonts w:hint="eastAsia" w:ascii="微软雅黑" w:hAnsi="微软雅黑" w:eastAsia="微软雅黑" w:cs="微软雅黑"/>
              <w:sz w:val="24"/>
              <w:szCs w:val="24"/>
            </w:rPr>
            <w:t>第六章 响应文件格式</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43</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"_Toc23934" </w:instrText>
          </w:r>
          <w:r>
            <w:fldChar w:fldCharType="separate"/>
          </w:r>
          <w:r>
            <w:rPr>
              <w:rFonts w:hint="eastAsia" w:ascii="微软雅黑" w:hAnsi="微软雅黑" w:eastAsia="微软雅黑" w:cs="微软雅黑"/>
              <w:sz w:val="24"/>
              <w:szCs w:val="24"/>
            </w:rPr>
            <w:t>一、响应函</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45</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"_Toc23996" </w:instrText>
          </w:r>
          <w:r>
            <w:fldChar w:fldCharType="separate"/>
          </w:r>
          <w:r>
            <w:rPr>
              <w:rFonts w:hint="eastAsia" w:ascii="微软雅黑" w:hAnsi="微软雅黑" w:eastAsia="微软雅黑" w:cs="微软雅黑"/>
              <w:sz w:val="24"/>
              <w:szCs w:val="24"/>
            </w:rPr>
            <w:t>二、授权委托书(适用于有委托代理人的情况)</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48</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"_Toc16749" </w:instrText>
          </w:r>
          <w:r>
            <w:fldChar w:fldCharType="separate"/>
          </w:r>
          <w:r>
            <w:rPr>
              <w:rFonts w:hint="eastAsia" w:ascii="微软雅黑" w:hAnsi="微软雅黑" w:eastAsia="微软雅黑" w:cs="微软雅黑"/>
              <w:sz w:val="24"/>
              <w:szCs w:val="24"/>
            </w:rPr>
            <w:t>三、商务和技术偏差表</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49</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"_Toc23116" </w:instrText>
          </w:r>
          <w:r>
            <w:fldChar w:fldCharType="separate"/>
          </w:r>
          <w:r>
            <w:rPr>
              <w:rFonts w:hint="eastAsia" w:ascii="微软雅黑" w:hAnsi="微软雅黑" w:eastAsia="微软雅黑" w:cs="微软雅黑"/>
              <w:sz w:val="24"/>
              <w:szCs w:val="24"/>
            </w:rPr>
            <w:t>四、报价表</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50</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"_Toc12364" </w:instrText>
          </w:r>
          <w:r>
            <w:fldChar w:fldCharType="separate"/>
          </w:r>
          <w:r>
            <w:rPr>
              <w:rFonts w:hint="eastAsia" w:ascii="微软雅黑" w:hAnsi="微软雅黑" w:eastAsia="微软雅黑" w:cs="微软雅黑"/>
              <w:sz w:val="24"/>
              <w:szCs w:val="24"/>
            </w:rPr>
            <w:t>五、资格审查资料</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51</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"_Toc18209" </w:instrText>
          </w:r>
          <w:r>
            <w:fldChar w:fldCharType="separate"/>
          </w:r>
          <w:r>
            <w:rPr>
              <w:rFonts w:hint="eastAsia" w:ascii="微软雅黑" w:hAnsi="微软雅黑" w:eastAsia="微软雅黑" w:cs="微软雅黑"/>
              <w:sz w:val="24"/>
              <w:szCs w:val="24"/>
            </w:rPr>
            <w:t>六、响应方案</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53</w:t>
          </w:r>
        </w:p>
        <w:p>
          <w:pPr>
            <w:pStyle w:val="188"/>
            <w:tabs>
              <w:tab w:val="right" w:leader="dot" w:pos="8300"/>
            </w:tabs>
            <w:spacing w:line="360" w:lineRule="auto"/>
            <w:ind w:left="210" w:leftChars="100"/>
            <w:rPr>
              <w:rFonts w:ascii="微软雅黑" w:hAnsi="微软雅黑" w:eastAsia="微软雅黑" w:cs="微软雅黑"/>
              <w:sz w:val="24"/>
              <w:szCs w:val="24"/>
            </w:rPr>
          </w:pPr>
          <w:r>
            <w:fldChar w:fldCharType="begin"/>
          </w:r>
          <w:r>
            <w:instrText xml:space="preserve"> HYPERLINK \l "_Toc2071" </w:instrText>
          </w:r>
          <w:r>
            <w:fldChar w:fldCharType="separate"/>
          </w:r>
          <w:r>
            <w:rPr>
              <w:rFonts w:hint="eastAsia" w:ascii="微软雅黑" w:hAnsi="微软雅黑" w:eastAsia="微软雅黑" w:cs="微软雅黑"/>
              <w:sz w:val="24"/>
              <w:szCs w:val="24"/>
            </w:rPr>
            <w:t>七、其他资料</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54</w:t>
          </w:r>
        </w:p>
        <w:p>
          <w:pPr>
            <w:spacing w:line="360" w:lineRule="auto"/>
          </w:pPr>
          <w:r>
            <w:rPr>
              <w:rFonts w:hint="eastAsia" w:ascii="微软雅黑" w:hAnsi="微软雅黑" w:eastAsia="微软雅黑" w:cs="微软雅黑"/>
              <w:sz w:val="24"/>
            </w:rPr>
            <w:fldChar w:fldCharType="end"/>
          </w:r>
        </w:p>
      </w:sdtContent>
    </w:sdt>
    <w:p>
      <w:pPr>
        <w:numPr>
          <w:ilvl w:val="0"/>
          <w:numId w:val="1"/>
        </w:numPr>
        <w:spacing w:line="360" w:lineRule="auto"/>
        <w:jc w:val="center"/>
        <w:outlineLvl w:val="0"/>
        <w:rPr>
          <w:rFonts w:ascii="黑体" w:hAnsi="黑体" w:eastAsia="黑体" w:cs="仿宋"/>
          <w:b/>
          <w:color w:val="000000"/>
          <w:sz w:val="44"/>
          <w:szCs w:val="44"/>
        </w:rPr>
      </w:pPr>
      <w:bookmarkStart w:id="0" w:name="_Toc25723"/>
      <w:r>
        <w:rPr>
          <w:rFonts w:hint="eastAsia" w:ascii="黑体" w:hAnsi="黑体" w:eastAsia="黑体" w:cs="仿宋"/>
          <w:b/>
          <w:color w:val="000000"/>
          <w:sz w:val="44"/>
          <w:szCs w:val="44"/>
        </w:rPr>
        <w:br w:type="page"/>
      </w:r>
    </w:p>
    <w:p>
      <w:pPr>
        <w:pStyle w:val="77"/>
        <w:numPr>
          <w:ilvl w:val="255"/>
          <w:numId w:val="0"/>
        </w:numPr>
        <w:spacing w:line="360" w:lineRule="auto"/>
        <w:jc w:val="center"/>
        <w:outlineLvl w:val="0"/>
        <w:rPr>
          <w:rFonts w:ascii="黑体" w:hAnsi="黑体" w:eastAsia="黑体" w:cs="仿宋"/>
          <w:b/>
          <w:color w:val="000000"/>
          <w:sz w:val="44"/>
          <w:szCs w:val="44"/>
        </w:rPr>
      </w:pPr>
      <w:r>
        <w:rPr>
          <w:rFonts w:hint="eastAsia" w:ascii="黑体" w:hAnsi="黑体" w:eastAsia="黑体" w:cs="仿宋"/>
          <w:b/>
          <w:color w:val="000000"/>
          <w:sz w:val="44"/>
          <w:szCs w:val="44"/>
        </w:rPr>
        <w:t>第一章 采购公告</w:t>
      </w:r>
      <w:bookmarkEnd w:id="0"/>
    </w:p>
    <w:p>
      <w:pPr>
        <w:spacing w:line="360" w:lineRule="auto"/>
        <w:rPr>
          <w:sz w:val="32"/>
          <w:szCs w:val="32"/>
        </w:rPr>
      </w:pPr>
    </w:p>
    <w:p>
      <w:pPr>
        <w:widowControl w:val="0"/>
        <w:adjustRightInd w:val="0"/>
        <w:snapToGrid w:val="0"/>
        <w:spacing w:line="360" w:lineRule="auto"/>
        <w:jc w:val="center"/>
        <w:rPr>
          <w:rFonts w:ascii="黑体" w:hAnsi="黑体" w:eastAsia="黑体" w:cs="黑体"/>
          <w:color w:val="000000"/>
          <w:sz w:val="32"/>
          <w:szCs w:val="32"/>
        </w:rPr>
      </w:pPr>
      <w:r>
        <w:rPr>
          <w:rFonts w:hint="eastAsia" w:ascii="黑体" w:hAnsi="黑体" w:eastAsia="黑体" w:cs="黑体"/>
          <w:color w:val="000000"/>
          <w:sz w:val="32"/>
          <w:szCs w:val="32"/>
        </w:rPr>
        <w:t>岳阳</w:t>
      </w:r>
      <w:r>
        <w:rPr>
          <w:rFonts w:ascii="黑体" w:hAnsi="黑体" w:eastAsia="黑体" w:cs="黑体"/>
          <w:color w:val="000000"/>
          <w:sz w:val="32"/>
          <w:szCs w:val="32"/>
        </w:rPr>
        <w:t>城陵矶新港</w:t>
      </w:r>
      <w:r>
        <w:rPr>
          <w:rFonts w:hint="eastAsia" w:ascii="黑体" w:hAnsi="黑体" w:eastAsia="黑体" w:cs="黑体"/>
          <w:color w:val="000000"/>
          <w:sz w:val="32"/>
          <w:szCs w:val="32"/>
        </w:rPr>
        <w:t>有限公司</w:t>
      </w:r>
    </w:p>
    <w:p>
      <w:pPr>
        <w:widowControl w:val="0"/>
        <w:adjustRightInd w:val="0"/>
        <w:snapToGrid w:val="0"/>
        <w:spacing w:line="360" w:lineRule="auto"/>
        <w:jc w:val="center"/>
      </w:pPr>
      <w:r>
        <w:rPr>
          <w:rFonts w:hint="eastAsia" w:ascii="黑体" w:hAnsi="黑体" w:eastAsia="黑体" w:cs="黑体"/>
          <w:color w:val="000000"/>
          <w:sz w:val="32"/>
          <w:szCs w:val="32"/>
          <w:lang w:eastAsia="zh-Hans"/>
        </w:rPr>
        <w:t>信息化</w:t>
      </w:r>
      <w:r>
        <w:rPr>
          <w:rFonts w:hint="eastAsia" w:ascii="黑体" w:hAnsi="黑体" w:eastAsia="黑体" w:cs="黑体"/>
          <w:color w:val="000000"/>
          <w:sz w:val="32"/>
          <w:szCs w:val="32"/>
        </w:rPr>
        <w:t>综合</w:t>
      </w:r>
      <w:r>
        <w:rPr>
          <w:rFonts w:hint="eastAsia" w:ascii="黑体" w:hAnsi="黑体" w:eastAsia="黑体" w:cs="黑体"/>
          <w:color w:val="000000"/>
          <w:sz w:val="32"/>
          <w:szCs w:val="32"/>
          <w:lang w:eastAsia="zh-Hans"/>
        </w:rPr>
        <w:t>故障检测系统</w:t>
      </w:r>
      <w:r>
        <w:rPr>
          <w:rFonts w:hint="eastAsia" w:ascii="黑体" w:hAnsi="黑体" w:eastAsia="黑体" w:cs="黑体"/>
          <w:color w:val="000000"/>
          <w:sz w:val="32"/>
          <w:szCs w:val="32"/>
        </w:rPr>
        <w:t>采购项目</w:t>
      </w:r>
      <w:r>
        <w:rPr>
          <w:rFonts w:hint="eastAsia" w:ascii="黑体" w:hAnsi="黑体" w:eastAsia="黑体" w:cs="黑体"/>
          <w:sz w:val="32"/>
          <w:szCs w:val="32"/>
        </w:rPr>
        <w:t>采购公告</w:t>
      </w:r>
      <w:r>
        <w:rPr>
          <w:rFonts w:hint="eastAsia"/>
        </w:rPr>
        <w:t xml:space="preserve"> </w:t>
      </w:r>
    </w:p>
    <w:p>
      <w:pPr>
        <w:autoSpaceDE w:val="0"/>
        <w:spacing w:line="360" w:lineRule="auto"/>
        <w:jc w:val="both"/>
        <w:rPr>
          <w:rFonts w:ascii="宋体" w:hAnsi="宋体"/>
          <w:sz w:val="24"/>
        </w:rPr>
      </w:pPr>
      <w:r>
        <w:rPr>
          <w:rFonts w:hint="eastAsia" w:ascii="宋体" w:hAnsi="宋体"/>
          <w:sz w:val="24"/>
        </w:rPr>
        <w:t xml:space="preserve">   岳阳</w:t>
      </w:r>
      <w:r>
        <w:rPr>
          <w:rFonts w:ascii="宋体" w:hAnsi="宋体"/>
          <w:sz w:val="24"/>
        </w:rPr>
        <w:t>城陵矶新港</w:t>
      </w:r>
      <w:r>
        <w:rPr>
          <w:rFonts w:hint="eastAsia" w:ascii="宋体" w:hAnsi="宋体"/>
          <w:sz w:val="24"/>
        </w:rPr>
        <w:t xml:space="preserve">有限公司信息化综合故障检测系统采购项目已具备采购条件，现公开邀请具备实施能力的供应商参加采购活动。 </w:t>
      </w:r>
    </w:p>
    <w:p>
      <w:pPr>
        <w:pStyle w:val="9"/>
        <w:spacing w:line="360" w:lineRule="auto"/>
        <w:jc w:val="both"/>
        <w:rPr>
          <w:rFonts w:ascii="Arial" w:hAnsi="Arial"/>
        </w:rPr>
      </w:pPr>
      <w:r>
        <w:rPr>
          <w:rFonts w:hint="eastAsia"/>
        </w:rPr>
        <w:t xml:space="preserve">1 </w:t>
      </w:r>
      <w:r>
        <w:rPr>
          <w:rFonts w:hint="eastAsia" w:ascii="黑体" w:hAnsi="黑体"/>
        </w:rPr>
        <w:t xml:space="preserve">采购项目简介 </w:t>
      </w:r>
    </w:p>
    <w:p>
      <w:pPr>
        <w:autoSpaceDE w:val="0"/>
        <w:spacing w:line="360" w:lineRule="auto"/>
        <w:jc w:val="both"/>
        <w:rPr>
          <w:rFonts w:ascii="宋体" w:hAnsi="宋体" w:cs="宋体"/>
          <w:sz w:val="24"/>
        </w:rPr>
      </w:pPr>
      <w:r>
        <w:rPr>
          <w:rFonts w:hint="eastAsia" w:ascii="宋体" w:hAnsi="宋体"/>
          <w:b/>
          <w:bCs/>
          <w:sz w:val="24"/>
        </w:rPr>
        <w:t>1.1</w:t>
      </w:r>
      <w:r>
        <w:rPr>
          <w:rFonts w:hint="eastAsia" w:ascii="宋体" w:hAnsi="宋体"/>
          <w:sz w:val="24"/>
        </w:rPr>
        <w:t xml:space="preserve"> 采购项目名</w:t>
      </w:r>
      <w:r>
        <w:rPr>
          <w:rFonts w:hint="eastAsia" w:ascii="宋体" w:hAnsi="宋体" w:cs="宋体"/>
          <w:sz w:val="24"/>
        </w:rPr>
        <w:t>称:</w:t>
      </w:r>
      <w:r>
        <w:rPr>
          <w:rFonts w:hint="eastAsia" w:ascii="宋体" w:hAnsi="宋体" w:cs="宋体"/>
          <w:color w:val="000000"/>
          <w:sz w:val="24"/>
        </w:rPr>
        <w:t>岳阳</w:t>
      </w:r>
      <w:r>
        <w:rPr>
          <w:rFonts w:ascii="宋体" w:hAnsi="宋体" w:cs="宋体"/>
          <w:color w:val="000000"/>
          <w:sz w:val="24"/>
        </w:rPr>
        <w:t>城陵矶新港</w:t>
      </w:r>
      <w:r>
        <w:rPr>
          <w:rFonts w:hint="eastAsia" w:ascii="宋体" w:hAnsi="宋体" w:cs="宋体"/>
          <w:color w:val="000000"/>
          <w:sz w:val="24"/>
        </w:rPr>
        <w:t>有限公司信息化</w:t>
      </w:r>
      <w:r>
        <w:rPr>
          <w:rFonts w:hint="eastAsia" w:ascii="宋体" w:hAnsi="宋体" w:cs="宋体"/>
          <w:sz w:val="24"/>
        </w:rPr>
        <w:t>综合</w:t>
      </w:r>
      <w:r>
        <w:rPr>
          <w:rFonts w:hint="eastAsia" w:ascii="宋体" w:hAnsi="宋体" w:cs="宋体"/>
          <w:color w:val="000000"/>
          <w:sz w:val="24"/>
        </w:rPr>
        <w:t>故障检测系统采购项目</w:t>
      </w:r>
    </w:p>
    <w:p>
      <w:pPr>
        <w:autoSpaceDE w:val="0"/>
        <w:spacing w:line="360" w:lineRule="auto"/>
        <w:jc w:val="both"/>
        <w:rPr>
          <w:rFonts w:ascii="宋体" w:hAnsi="宋体"/>
          <w:sz w:val="24"/>
        </w:rPr>
      </w:pPr>
      <w:r>
        <w:rPr>
          <w:rFonts w:hint="eastAsia" w:ascii="宋体" w:hAnsi="宋体"/>
          <w:b/>
          <w:bCs/>
          <w:sz w:val="24"/>
        </w:rPr>
        <w:t>1.2</w:t>
      </w:r>
      <w:r>
        <w:rPr>
          <w:rFonts w:hint="eastAsia" w:ascii="宋体" w:hAnsi="宋体"/>
          <w:sz w:val="24"/>
        </w:rPr>
        <w:t xml:space="preserve"> 采购人:</w:t>
      </w:r>
      <w:r>
        <w:rPr>
          <w:rFonts w:hint="eastAsia" w:ascii="宋体" w:hAnsi="宋体" w:cs="宋体"/>
          <w:color w:val="000000"/>
          <w:sz w:val="24"/>
        </w:rPr>
        <w:t xml:space="preserve"> 岳阳</w:t>
      </w:r>
      <w:r>
        <w:rPr>
          <w:rFonts w:ascii="宋体" w:hAnsi="宋体" w:cs="宋体"/>
          <w:color w:val="000000"/>
          <w:sz w:val="24"/>
        </w:rPr>
        <w:t>城陵矶新港</w:t>
      </w:r>
      <w:r>
        <w:rPr>
          <w:rFonts w:hint="eastAsia" w:ascii="宋体" w:hAnsi="宋体" w:cs="宋体"/>
          <w:color w:val="000000"/>
          <w:sz w:val="24"/>
        </w:rPr>
        <w:t>有限</w:t>
      </w:r>
      <w:r>
        <w:rPr>
          <w:rFonts w:hint="eastAsia" w:ascii="宋体" w:hAnsi="宋体"/>
          <w:sz w:val="24"/>
        </w:rPr>
        <w:t>公司</w:t>
      </w:r>
    </w:p>
    <w:p>
      <w:pPr>
        <w:autoSpaceDE w:val="0"/>
        <w:spacing w:line="360" w:lineRule="auto"/>
        <w:jc w:val="both"/>
        <w:rPr>
          <w:rFonts w:ascii="宋体" w:hAnsi="宋体"/>
          <w:sz w:val="24"/>
        </w:rPr>
      </w:pPr>
      <w:r>
        <w:rPr>
          <w:rFonts w:hint="eastAsia" w:ascii="宋体" w:hAnsi="宋体"/>
          <w:b/>
          <w:bCs/>
          <w:sz w:val="24"/>
        </w:rPr>
        <w:t>1.3</w:t>
      </w:r>
      <w:r>
        <w:rPr>
          <w:rFonts w:hint="eastAsia" w:ascii="宋体" w:hAnsi="宋体"/>
          <w:sz w:val="24"/>
        </w:rPr>
        <w:t xml:space="preserve"> 采购代理机构:无</w:t>
      </w:r>
    </w:p>
    <w:p>
      <w:pPr>
        <w:autoSpaceDE w:val="0"/>
        <w:spacing w:line="360" w:lineRule="auto"/>
        <w:jc w:val="both"/>
        <w:rPr>
          <w:rFonts w:ascii="宋体" w:hAnsi="宋体"/>
          <w:sz w:val="24"/>
        </w:rPr>
      </w:pPr>
      <w:r>
        <w:rPr>
          <w:rFonts w:hint="eastAsia" w:ascii="宋体" w:hAnsi="宋体"/>
          <w:b/>
          <w:bCs/>
          <w:sz w:val="24"/>
        </w:rPr>
        <w:t xml:space="preserve">1.4 </w:t>
      </w:r>
      <w:r>
        <w:rPr>
          <w:rFonts w:hint="eastAsia" w:ascii="宋体" w:hAnsi="宋体"/>
          <w:sz w:val="24"/>
        </w:rPr>
        <w:t>采购项目资金落实情况:自筹资金，已落实</w:t>
      </w:r>
    </w:p>
    <w:p>
      <w:pPr>
        <w:autoSpaceDE w:val="0"/>
        <w:spacing w:line="360" w:lineRule="auto"/>
        <w:jc w:val="both"/>
        <w:rPr>
          <w:rFonts w:ascii="宋体" w:hAnsi="宋体"/>
          <w:color w:val="FF0000"/>
          <w:sz w:val="24"/>
          <w:lang w:eastAsia="zh-Hans"/>
        </w:rPr>
      </w:pPr>
      <w:r>
        <w:rPr>
          <w:rFonts w:hint="eastAsia" w:ascii="宋体" w:hAnsi="宋体"/>
          <w:b/>
          <w:bCs/>
          <w:sz w:val="24"/>
        </w:rPr>
        <w:t xml:space="preserve">1.5 </w:t>
      </w:r>
      <w:r>
        <w:rPr>
          <w:rFonts w:hint="eastAsia" w:ascii="宋体" w:hAnsi="宋体"/>
          <w:sz w:val="24"/>
        </w:rPr>
        <w:t>采购项目概况:</w:t>
      </w:r>
      <w:r>
        <w:rPr>
          <w:rFonts w:hint="eastAsia" w:ascii="宋体" w:hAnsi="宋体"/>
          <w:sz w:val="24"/>
          <w:lang w:eastAsia="zh-Hans"/>
        </w:rPr>
        <w:t>本次项目</w:t>
      </w:r>
      <w:r>
        <w:rPr>
          <w:rFonts w:hint="eastAsia" w:ascii="宋体" w:hAnsi="宋体"/>
          <w:sz w:val="24"/>
        </w:rPr>
        <w:t>为了</w:t>
      </w:r>
      <w:r>
        <w:rPr>
          <w:rFonts w:hint="eastAsia" w:ascii="宋体" w:hAnsi="宋体"/>
          <w:sz w:val="24"/>
          <w:lang w:eastAsia="zh-Hans"/>
        </w:rPr>
        <w:t>提升</w:t>
      </w:r>
      <w:r>
        <w:rPr>
          <w:rFonts w:hint="eastAsia" w:ascii="宋体" w:hAnsi="宋体"/>
          <w:sz w:val="24"/>
        </w:rPr>
        <w:t>城陵矶港口各类业务相关的</w:t>
      </w:r>
      <w:r>
        <w:rPr>
          <w:rFonts w:hint="eastAsia" w:ascii="宋体" w:hAnsi="宋体"/>
          <w:sz w:val="24"/>
          <w:lang w:eastAsia="zh-Hans"/>
        </w:rPr>
        <w:t>信息化</w:t>
      </w:r>
      <w:r>
        <w:rPr>
          <w:rFonts w:hint="eastAsia" w:ascii="宋体" w:hAnsi="宋体"/>
          <w:sz w:val="24"/>
        </w:rPr>
        <w:t>软硬件系统的</w:t>
      </w:r>
      <w:r>
        <w:rPr>
          <w:rFonts w:hint="eastAsia" w:ascii="宋体" w:hAnsi="宋体"/>
          <w:sz w:val="24"/>
          <w:lang w:eastAsia="zh-Hans"/>
        </w:rPr>
        <w:t>故障检测能力、运营运维水平，</w:t>
      </w:r>
      <w:r>
        <w:rPr>
          <w:rFonts w:hint="eastAsia" w:ascii="宋体" w:hAnsi="宋体"/>
          <w:sz w:val="24"/>
        </w:rPr>
        <w:t>提高各类业务的稳定性和连续性。</w:t>
      </w:r>
      <w:r>
        <w:rPr>
          <w:rFonts w:hint="eastAsia" w:ascii="宋体" w:hAnsi="宋体"/>
          <w:sz w:val="24"/>
          <w:lang w:eastAsia="zh-Hans"/>
        </w:rPr>
        <w:t>建设</w:t>
      </w:r>
      <w:r>
        <w:rPr>
          <w:rFonts w:hint="eastAsia" w:ascii="宋体" w:hAnsi="宋体"/>
          <w:sz w:val="24"/>
        </w:rPr>
        <w:t>港口信息化综合故障检测系统</w:t>
      </w:r>
      <w:r>
        <w:rPr>
          <w:rFonts w:ascii="宋体" w:hAnsi="宋体"/>
          <w:sz w:val="24"/>
          <w:lang w:eastAsia="zh-Hans"/>
        </w:rPr>
        <w:t>，</w:t>
      </w:r>
      <w:r>
        <w:rPr>
          <w:rFonts w:hint="eastAsia" w:ascii="宋体" w:hAnsi="宋体"/>
          <w:sz w:val="24"/>
          <w:lang w:eastAsia="zh-Hans"/>
        </w:rPr>
        <w:t>实现运维运营大数据中台</w:t>
      </w:r>
      <w:r>
        <w:rPr>
          <w:rFonts w:ascii="宋体" w:hAnsi="宋体"/>
          <w:sz w:val="24"/>
          <w:lang w:eastAsia="zh-Hans"/>
        </w:rPr>
        <w:t>、</w:t>
      </w:r>
      <w:r>
        <w:rPr>
          <w:rFonts w:hint="eastAsia" w:ascii="宋体" w:hAnsi="宋体"/>
          <w:sz w:val="24"/>
          <w:lang w:eastAsia="zh-Hans"/>
        </w:rPr>
        <w:t>全链路可观测</w:t>
      </w:r>
      <w:r>
        <w:rPr>
          <w:rFonts w:ascii="宋体" w:hAnsi="宋体"/>
          <w:sz w:val="24"/>
          <w:lang w:eastAsia="zh-Hans"/>
        </w:rPr>
        <w:t>、</w:t>
      </w:r>
      <w:r>
        <w:rPr>
          <w:rFonts w:hint="eastAsia" w:ascii="宋体" w:hAnsi="宋体"/>
          <w:sz w:val="24"/>
          <w:lang w:eastAsia="zh-Hans"/>
        </w:rPr>
        <w:t>智能故障排查</w:t>
      </w:r>
      <w:r>
        <w:rPr>
          <w:rFonts w:ascii="宋体" w:hAnsi="宋体"/>
          <w:sz w:val="24"/>
          <w:lang w:eastAsia="zh-Hans"/>
        </w:rPr>
        <w:t>、</w:t>
      </w:r>
      <w:r>
        <w:rPr>
          <w:rFonts w:hint="eastAsia" w:ascii="宋体" w:hAnsi="宋体"/>
          <w:sz w:val="24"/>
          <w:lang w:eastAsia="zh-Hans"/>
        </w:rPr>
        <w:t>智能告警</w:t>
      </w:r>
      <w:r>
        <w:rPr>
          <w:rFonts w:ascii="宋体" w:hAnsi="宋体"/>
          <w:sz w:val="24"/>
          <w:lang w:eastAsia="zh-Hans"/>
        </w:rPr>
        <w:t>、</w:t>
      </w:r>
      <w:r>
        <w:rPr>
          <w:rFonts w:hint="eastAsia" w:ascii="宋体" w:hAnsi="宋体"/>
          <w:sz w:val="24"/>
          <w:lang w:eastAsia="zh-Hans"/>
        </w:rPr>
        <w:t>平台自监控等功能</w:t>
      </w:r>
      <w:r>
        <w:rPr>
          <w:rFonts w:ascii="宋体" w:hAnsi="宋体"/>
          <w:sz w:val="24"/>
          <w:lang w:eastAsia="zh-Hans"/>
        </w:rPr>
        <w:t>，</w:t>
      </w:r>
      <w:r>
        <w:rPr>
          <w:rFonts w:hint="eastAsia" w:ascii="宋体" w:hAnsi="宋体"/>
          <w:sz w:val="24"/>
          <w:lang w:eastAsia="zh-Hans"/>
        </w:rPr>
        <w:t>同时实现业务可观测，增强互动能力。</w:t>
      </w:r>
      <w:r>
        <w:rPr>
          <w:rFonts w:ascii="宋体" w:hAnsi="宋体"/>
          <w:sz w:val="24"/>
          <w:lang w:eastAsia="zh-Hans"/>
        </w:rPr>
        <w:t>建成集成式一体化</w:t>
      </w:r>
      <w:r>
        <w:rPr>
          <w:rFonts w:hint="eastAsia" w:ascii="宋体" w:hAnsi="宋体"/>
          <w:sz w:val="24"/>
        </w:rPr>
        <w:t>港口</w:t>
      </w:r>
      <w:r>
        <w:rPr>
          <w:rFonts w:ascii="宋体" w:hAnsi="宋体"/>
          <w:sz w:val="24"/>
          <w:lang w:eastAsia="zh-Hans"/>
        </w:rPr>
        <w:t>数字</w:t>
      </w:r>
      <w:r>
        <w:rPr>
          <w:rFonts w:hint="eastAsia" w:ascii="宋体" w:hAnsi="宋体"/>
          <w:sz w:val="24"/>
        </w:rPr>
        <w:t>化</w:t>
      </w:r>
      <w:r>
        <w:rPr>
          <w:rFonts w:ascii="宋体" w:hAnsi="宋体"/>
          <w:sz w:val="24"/>
          <w:lang w:eastAsia="zh-Hans"/>
        </w:rPr>
        <w:t>基座服务平台，</w:t>
      </w:r>
      <w:r>
        <w:rPr>
          <w:rFonts w:hint="eastAsia" w:ascii="宋体" w:hAnsi="宋体"/>
          <w:sz w:val="24"/>
        </w:rPr>
        <w:t>保障和</w:t>
      </w:r>
      <w:r>
        <w:rPr>
          <w:rFonts w:ascii="宋体" w:hAnsi="宋体"/>
          <w:sz w:val="24"/>
          <w:lang w:eastAsia="zh-Hans"/>
        </w:rPr>
        <w:t>助力</w:t>
      </w:r>
      <w:r>
        <w:rPr>
          <w:rFonts w:hint="eastAsia" w:ascii="宋体" w:hAnsi="宋体"/>
          <w:sz w:val="24"/>
          <w:lang w:eastAsia="zh-Hans"/>
        </w:rPr>
        <w:t>岳阳城陵矶新港有限公司数字化</w:t>
      </w:r>
      <w:r>
        <w:rPr>
          <w:rFonts w:ascii="宋体" w:hAnsi="宋体"/>
          <w:sz w:val="24"/>
          <w:lang w:eastAsia="zh-Hans"/>
        </w:rPr>
        <w:t>建设。</w:t>
      </w:r>
    </w:p>
    <w:p>
      <w:pPr>
        <w:pStyle w:val="9"/>
        <w:spacing w:line="360" w:lineRule="auto"/>
        <w:jc w:val="both"/>
        <w:rPr>
          <w:rFonts w:ascii="Arial" w:hAnsi="Arial"/>
        </w:rPr>
      </w:pPr>
      <w:r>
        <w:rPr>
          <w:rFonts w:hint="eastAsia"/>
        </w:rPr>
        <w:t>2．</w:t>
      </w:r>
      <w:r>
        <w:rPr>
          <w:rFonts w:hint="eastAsia" w:ascii="黑体" w:hAnsi="黑体"/>
        </w:rPr>
        <w:t>采购范围及相关要求</w:t>
      </w:r>
    </w:p>
    <w:p>
      <w:pPr>
        <w:autoSpaceDE w:val="0"/>
        <w:spacing w:line="360" w:lineRule="auto"/>
        <w:jc w:val="both"/>
        <w:rPr>
          <w:rFonts w:ascii="宋体" w:hAnsi="宋体" w:cs="宋体"/>
          <w:color w:val="000000" w:themeColor="text1"/>
          <w:sz w:val="24"/>
          <w14:textFill>
            <w14:solidFill>
              <w14:schemeClr w14:val="tx1"/>
            </w14:solidFill>
          </w14:textFill>
        </w:rPr>
      </w:pPr>
      <w:r>
        <w:rPr>
          <w:rFonts w:hint="eastAsia" w:ascii="宋体" w:hAnsi="宋体"/>
          <w:b/>
          <w:bCs/>
          <w:sz w:val="24"/>
        </w:rPr>
        <w:t xml:space="preserve">2.1 </w:t>
      </w:r>
      <w:r>
        <w:rPr>
          <w:rFonts w:hint="eastAsia" w:ascii="宋体" w:hAnsi="宋体"/>
          <w:sz w:val="24"/>
        </w:rPr>
        <w:t xml:space="preserve">采购范围: </w:t>
      </w:r>
      <w:r>
        <w:rPr>
          <w:rFonts w:hint="eastAsia" w:ascii="宋体" w:hAnsi="宋体"/>
          <w:sz w:val="24"/>
          <w:lang w:eastAsia="zh-Hans"/>
        </w:rPr>
        <w:t>信息化综合故障检测系统一套</w:t>
      </w:r>
      <w:r>
        <w:rPr>
          <w:rFonts w:ascii="宋体" w:hAnsi="宋体"/>
          <w:sz w:val="24"/>
          <w:lang w:eastAsia="zh-Hans"/>
        </w:rPr>
        <w:t>，</w:t>
      </w:r>
      <w:r>
        <w:rPr>
          <w:rFonts w:hint="eastAsia" w:ascii="宋体" w:hAnsi="宋体"/>
          <w:sz w:val="24"/>
          <w:lang w:eastAsia="zh-Hans"/>
        </w:rPr>
        <w:t>包含</w:t>
      </w:r>
      <w:r>
        <w:rPr>
          <w:rFonts w:ascii="宋体" w:hAnsi="宋体"/>
          <w:sz w:val="24"/>
          <w:lang w:eastAsia="zh-Hans"/>
        </w:rPr>
        <w:t>：</w:t>
      </w:r>
      <w:r>
        <w:rPr>
          <w:rFonts w:hint="eastAsia" w:ascii="宋体" w:hAnsi="宋体"/>
          <w:sz w:val="24"/>
        </w:rPr>
        <w:t>港口信息化综合故障检测中心平台、</w:t>
      </w:r>
      <w:r>
        <w:rPr>
          <w:rFonts w:hint="eastAsia" w:ascii="宋体" w:hAnsi="宋体"/>
          <w:sz w:val="24"/>
          <w:lang w:eastAsia="zh-Hans"/>
        </w:rPr>
        <w:t>全链路可观测追踪分析系统</w:t>
      </w:r>
      <w:r>
        <w:rPr>
          <w:rFonts w:ascii="宋体" w:hAnsi="宋体"/>
          <w:sz w:val="24"/>
          <w:lang w:eastAsia="zh-Hans"/>
        </w:rPr>
        <w:t>、</w:t>
      </w:r>
      <w:r>
        <w:rPr>
          <w:rFonts w:hint="eastAsia" w:ascii="宋体" w:hAnsi="宋体"/>
          <w:sz w:val="24"/>
          <w:lang w:eastAsia="zh-Hans"/>
        </w:rPr>
        <w:t>智能故障排查系统</w:t>
      </w:r>
      <w:r>
        <w:rPr>
          <w:rFonts w:ascii="宋体" w:hAnsi="宋体"/>
          <w:sz w:val="24"/>
          <w:lang w:eastAsia="zh-Hans"/>
        </w:rPr>
        <w:t>、</w:t>
      </w:r>
      <w:r>
        <w:rPr>
          <w:rFonts w:hint="eastAsia" w:ascii="宋体" w:hAnsi="宋体"/>
          <w:sz w:val="24"/>
          <w:lang w:eastAsia="zh-Hans"/>
        </w:rPr>
        <w:t>数据中台</w:t>
      </w:r>
      <w:r>
        <w:rPr>
          <w:rFonts w:ascii="宋体" w:hAnsi="宋体"/>
          <w:sz w:val="24"/>
          <w:lang w:eastAsia="zh-Hans"/>
        </w:rPr>
        <w:t>、</w:t>
      </w:r>
      <w:r>
        <w:rPr>
          <w:rFonts w:hint="eastAsia" w:ascii="宋体" w:hAnsi="宋体"/>
          <w:sz w:val="24"/>
          <w:lang w:eastAsia="zh-Hans"/>
        </w:rPr>
        <w:t>智能告警系统</w:t>
      </w:r>
      <w:r>
        <w:rPr>
          <w:rFonts w:ascii="宋体" w:hAnsi="宋体"/>
          <w:sz w:val="24"/>
          <w:lang w:eastAsia="zh-Hans"/>
        </w:rPr>
        <w:t>、</w:t>
      </w:r>
      <w:r>
        <w:rPr>
          <w:rFonts w:hint="eastAsia" w:ascii="宋体" w:hAnsi="宋体"/>
          <w:sz w:val="24"/>
          <w:lang w:eastAsia="zh-Hans"/>
        </w:rPr>
        <w:t>业务可观测系统</w:t>
      </w:r>
      <w:r>
        <w:rPr>
          <w:rFonts w:ascii="宋体" w:hAnsi="宋体"/>
          <w:sz w:val="24"/>
          <w:lang w:eastAsia="zh-Hans"/>
        </w:rPr>
        <w:t>、</w:t>
      </w:r>
      <w:r>
        <w:rPr>
          <w:rFonts w:hint="eastAsia" w:ascii="宋体" w:hAnsi="宋体"/>
          <w:sz w:val="24"/>
        </w:rPr>
        <w:t>港口信息化综合故障检测系统软件定制开发及专用</w:t>
      </w:r>
      <w:r>
        <w:rPr>
          <w:rFonts w:hint="eastAsia" w:ascii="宋体" w:hAnsi="宋体"/>
          <w:sz w:val="24"/>
          <w:lang w:eastAsia="zh-Hans"/>
        </w:rPr>
        <w:t>服务器</w:t>
      </w:r>
      <w:r>
        <w:rPr>
          <w:rFonts w:hint="eastAsia" w:ascii="宋体" w:hAnsi="宋体"/>
          <w:sz w:val="24"/>
        </w:rPr>
        <w:t>。本次采购含新设备采购及后期安装调试、培训服务。</w:t>
      </w:r>
    </w:p>
    <w:p>
      <w:pPr>
        <w:autoSpaceDE w:val="0"/>
        <w:spacing w:line="360" w:lineRule="auto"/>
        <w:jc w:val="both"/>
        <w:rPr>
          <w:rFonts w:ascii="宋体" w:hAnsi="宋体"/>
          <w:sz w:val="24"/>
        </w:rPr>
      </w:pPr>
      <w:r>
        <w:rPr>
          <w:rFonts w:hint="eastAsia" w:ascii="宋体" w:hAnsi="宋体"/>
          <w:b/>
          <w:bCs/>
          <w:sz w:val="24"/>
        </w:rPr>
        <w:t xml:space="preserve">2.2 </w:t>
      </w:r>
      <w:r>
        <w:rPr>
          <w:rFonts w:hint="eastAsia" w:ascii="宋体" w:hAnsi="宋体"/>
          <w:sz w:val="24"/>
        </w:rPr>
        <w:t xml:space="preserve">交货期限: </w:t>
      </w:r>
      <w:r>
        <w:rPr>
          <w:rFonts w:hint="eastAsia" w:ascii="宋体" w:hAnsi="宋体" w:cs="宋体"/>
          <w:sz w:val="24"/>
        </w:rPr>
        <w:t>合同签订后设备交货</w:t>
      </w:r>
      <w:r>
        <w:rPr>
          <w:rFonts w:ascii="宋体" w:hAnsi="宋体" w:cs="宋体"/>
          <w:sz w:val="24"/>
        </w:rPr>
        <w:t>日期不超过</w:t>
      </w:r>
      <w:r>
        <w:rPr>
          <w:rFonts w:ascii="宋体" w:hAnsi="宋体" w:cs="宋体"/>
          <w:sz w:val="24"/>
          <w:u w:val="single"/>
        </w:rPr>
        <w:t>30</w:t>
      </w:r>
      <w:r>
        <w:rPr>
          <w:rFonts w:hint="eastAsia" w:ascii="宋体" w:hAnsi="宋体" w:cs="宋体"/>
          <w:sz w:val="24"/>
        </w:rPr>
        <w:t>日历</w:t>
      </w:r>
      <w:r>
        <w:rPr>
          <w:rFonts w:ascii="宋体" w:hAnsi="宋体" w:cs="宋体"/>
          <w:sz w:val="24"/>
        </w:rPr>
        <w:t>日，</w:t>
      </w:r>
      <w:r>
        <w:rPr>
          <w:rFonts w:hint="eastAsia" w:ascii="宋体" w:hAnsi="宋体" w:cs="宋体"/>
          <w:sz w:val="24"/>
        </w:rPr>
        <w:t>按照采购人的要求进行实施，改造时间不大于</w:t>
      </w:r>
      <w:r>
        <w:rPr>
          <w:rFonts w:ascii="宋体" w:hAnsi="宋体" w:cs="宋体"/>
          <w:sz w:val="24"/>
          <w:u w:val="single"/>
        </w:rPr>
        <w:t>40</w:t>
      </w:r>
      <w:r>
        <w:rPr>
          <w:rFonts w:hint="eastAsia" w:ascii="宋体" w:hAnsi="宋体" w:cs="宋体"/>
          <w:sz w:val="24"/>
        </w:rPr>
        <w:t>个日历日。</w:t>
      </w:r>
    </w:p>
    <w:p>
      <w:pPr>
        <w:autoSpaceDE w:val="0"/>
        <w:spacing w:line="360" w:lineRule="auto"/>
        <w:jc w:val="both"/>
        <w:rPr>
          <w:rFonts w:ascii="宋体" w:hAnsi="宋体" w:cs="宋体"/>
          <w:sz w:val="24"/>
        </w:rPr>
      </w:pPr>
      <w:r>
        <w:rPr>
          <w:rFonts w:hint="eastAsia" w:ascii="宋体" w:hAnsi="宋体"/>
          <w:b/>
          <w:bCs/>
          <w:sz w:val="24"/>
        </w:rPr>
        <w:t xml:space="preserve">2.3 </w:t>
      </w:r>
      <w:r>
        <w:rPr>
          <w:rFonts w:hint="eastAsia" w:ascii="宋体" w:hAnsi="宋体"/>
          <w:sz w:val="24"/>
        </w:rPr>
        <w:t>交货地点: 由供应商负责运输至</w:t>
      </w:r>
      <w:r>
        <w:rPr>
          <w:rFonts w:hint="eastAsia" w:ascii="宋体" w:hAnsi="宋体" w:cs="宋体"/>
          <w:sz w:val="24"/>
        </w:rPr>
        <w:t>岳阳城陵矶新港有限公司</w:t>
      </w:r>
    </w:p>
    <w:p>
      <w:pPr>
        <w:pStyle w:val="2"/>
        <w:spacing w:line="360" w:lineRule="auto"/>
        <w:ind w:firstLine="0"/>
      </w:pPr>
      <w:r>
        <w:rPr>
          <w:rFonts w:hint="eastAsia" w:hAnsi="宋体"/>
          <w:b/>
          <w:bCs/>
          <w:snapToGrid/>
          <w:kern w:val="2"/>
          <w:szCs w:val="24"/>
        </w:rPr>
        <w:t xml:space="preserve">2.4 </w:t>
      </w:r>
      <w:r>
        <w:rPr>
          <w:rFonts w:hint="eastAsia" w:hAnsi="宋体"/>
          <w:snapToGrid/>
          <w:kern w:val="2"/>
          <w:szCs w:val="24"/>
        </w:rPr>
        <w:t>产品性能及相关要求</w:t>
      </w:r>
      <w:r>
        <w:rPr>
          <w:rFonts w:hint="eastAsia" w:hAnsi="宋体" w:cs="宋体"/>
        </w:rPr>
        <w:t>：</w:t>
      </w:r>
      <w:r>
        <w:rPr>
          <w:rFonts w:hint="eastAsia" w:hAnsi="宋体" w:cs="宋体"/>
          <w:b/>
          <w:bCs/>
        </w:rPr>
        <w:t>见采购文件第五章“采购需求”</w:t>
      </w:r>
    </w:p>
    <w:p>
      <w:pPr>
        <w:pStyle w:val="9"/>
        <w:spacing w:line="360" w:lineRule="auto"/>
        <w:jc w:val="both"/>
        <w:rPr>
          <w:rFonts w:ascii="Arial" w:hAnsi="Arial"/>
        </w:rPr>
      </w:pPr>
      <w:r>
        <w:rPr>
          <w:rFonts w:hint="eastAsia"/>
        </w:rPr>
        <w:t xml:space="preserve">3 </w:t>
      </w:r>
      <w:r>
        <w:rPr>
          <w:rFonts w:hint="eastAsia" w:ascii="黑体" w:hAnsi="黑体"/>
        </w:rPr>
        <w:t>供应商资格要求</w:t>
      </w:r>
    </w:p>
    <w:p>
      <w:pPr>
        <w:autoSpaceDE w:val="0"/>
        <w:spacing w:line="360" w:lineRule="auto"/>
        <w:jc w:val="both"/>
        <w:rPr>
          <w:rFonts w:ascii="宋体" w:hAnsi="宋体"/>
          <w:sz w:val="24"/>
        </w:rPr>
      </w:pPr>
      <w:r>
        <w:rPr>
          <w:rFonts w:hint="eastAsia" w:ascii="宋体" w:hAnsi="宋体"/>
          <w:b/>
          <w:bCs/>
          <w:sz w:val="24"/>
        </w:rPr>
        <w:t>3.1</w:t>
      </w:r>
      <w:r>
        <w:rPr>
          <w:rFonts w:hint="eastAsia" w:ascii="宋体" w:hAnsi="宋体"/>
          <w:sz w:val="24"/>
        </w:rPr>
        <w:t>供应商不得存在下列情形之一:</w:t>
      </w:r>
    </w:p>
    <w:p>
      <w:pPr>
        <w:autoSpaceDE w:val="0"/>
        <w:spacing w:line="360" w:lineRule="auto"/>
        <w:ind w:firstLine="240" w:firstLineChars="100"/>
        <w:jc w:val="both"/>
        <w:rPr>
          <w:rFonts w:ascii="宋体" w:hAnsi="宋体"/>
          <w:sz w:val="24"/>
        </w:rPr>
      </w:pPr>
      <w:r>
        <w:rPr>
          <w:rFonts w:hint="eastAsia" w:ascii="宋体" w:hAnsi="宋体"/>
          <w:sz w:val="24"/>
        </w:rPr>
        <w:t>（1）处于被责令停产停业、暂扣或者吊销执照、暂扣或者吊销许可证、吊销资质证书状态;</w:t>
      </w:r>
    </w:p>
    <w:p>
      <w:pPr>
        <w:autoSpaceDE w:val="0"/>
        <w:spacing w:line="360" w:lineRule="auto"/>
        <w:ind w:firstLine="240" w:firstLineChars="100"/>
        <w:jc w:val="both"/>
        <w:rPr>
          <w:rFonts w:ascii="宋体" w:hAnsi="宋体"/>
          <w:sz w:val="24"/>
        </w:rPr>
      </w:pPr>
      <w:r>
        <w:rPr>
          <w:rFonts w:hint="eastAsia" w:ascii="宋体" w:hAnsi="宋体"/>
          <w:sz w:val="24"/>
        </w:rPr>
        <w:t>（2）进入清算程序，或被宣告破产，或其他丧失履约能力的情形;</w:t>
      </w:r>
    </w:p>
    <w:p>
      <w:pPr>
        <w:autoSpaceDE w:val="0"/>
        <w:spacing w:line="360" w:lineRule="auto"/>
        <w:ind w:firstLine="240" w:firstLineChars="100"/>
        <w:jc w:val="both"/>
        <w:rPr>
          <w:rFonts w:ascii="宋体" w:hAnsi="宋体"/>
          <w:sz w:val="24"/>
        </w:rPr>
      </w:pPr>
      <w:r>
        <w:rPr>
          <w:rFonts w:hint="eastAsia" w:ascii="宋体" w:hAnsi="宋体"/>
          <w:sz w:val="24"/>
        </w:rPr>
        <w:t>（3）被采购人或采购人上级单位纳入黑名单</w:t>
      </w:r>
    </w:p>
    <w:p>
      <w:pPr>
        <w:autoSpaceDE w:val="0"/>
        <w:spacing w:line="360" w:lineRule="auto"/>
        <w:ind w:firstLine="240" w:firstLineChars="100"/>
        <w:rPr>
          <w:sz w:val="24"/>
        </w:rPr>
      </w:pPr>
      <w:r>
        <w:rPr>
          <w:rFonts w:hint="eastAsia" w:ascii="宋体" w:hAnsi="宋体"/>
          <w:sz w:val="24"/>
        </w:rPr>
        <w:t>（4）</w:t>
      </w:r>
      <w:r>
        <w:rPr>
          <w:rFonts w:hint="eastAsia"/>
          <w:sz w:val="24"/>
        </w:rPr>
        <w:t>为投资参股本项目的法人单位；</w:t>
      </w:r>
    </w:p>
    <w:p>
      <w:pPr>
        <w:autoSpaceDE w:val="0"/>
        <w:spacing w:line="360" w:lineRule="auto"/>
        <w:jc w:val="both"/>
        <w:rPr>
          <w:rFonts w:ascii="宋体" w:hAnsi="宋体"/>
          <w:sz w:val="24"/>
        </w:rPr>
      </w:pPr>
      <w:r>
        <w:rPr>
          <w:rFonts w:hint="eastAsia" w:ascii="宋体" w:hAnsi="宋体"/>
          <w:b/>
          <w:bCs/>
          <w:sz w:val="24"/>
        </w:rPr>
        <w:t>3.2</w:t>
      </w:r>
      <w:r>
        <w:rPr>
          <w:rFonts w:hint="eastAsia" w:ascii="宋体" w:hAnsi="宋体"/>
          <w:sz w:val="24"/>
        </w:rPr>
        <w:t>供应商应满足如下要求:</w:t>
      </w:r>
    </w:p>
    <w:tbl>
      <w:tblPr>
        <w:tblStyle w:val="40"/>
        <w:tblW w:w="8810"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1814"/>
        <w:gridCol w:w="4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358" w:type="dxa"/>
            <w:vAlign w:val="center"/>
          </w:tcPr>
          <w:p>
            <w:pPr>
              <w:widowControl w:val="0"/>
              <w:spacing w:line="360" w:lineRule="auto"/>
              <w:jc w:val="center"/>
              <w:rPr>
                <w:rFonts w:ascii="宋体" w:hAnsi="宋体"/>
                <w:b/>
                <w:bCs/>
                <w:sz w:val="24"/>
              </w:rPr>
            </w:pPr>
            <w:r>
              <w:rPr>
                <w:rFonts w:hint="eastAsia" w:ascii="宋体" w:hAnsi="宋体"/>
                <w:b/>
                <w:bCs/>
                <w:sz w:val="24"/>
              </w:rPr>
              <w:t>资格条件</w:t>
            </w:r>
          </w:p>
        </w:tc>
        <w:tc>
          <w:tcPr>
            <w:tcW w:w="1814" w:type="dxa"/>
            <w:vAlign w:val="center"/>
          </w:tcPr>
          <w:p>
            <w:pPr>
              <w:widowControl w:val="0"/>
              <w:spacing w:line="360" w:lineRule="auto"/>
              <w:jc w:val="center"/>
              <w:rPr>
                <w:rFonts w:ascii="宋体" w:hAnsi="宋体"/>
                <w:b/>
                <w:bCs/>
                <w:sz w:val="24"/>
              </w:rPr>
            </w:pPr>
            <w:r>
              <w:rPr>
                <w:rFonts w:hint="eastAsia" w:ascii="宋体" w:hAnsi="宋体"/>
                <w:b/>
                <w:bCs/>
                <w:sz w:val="24"/>
              </w:rPr>
              <w:t>对供应商要求</w:t>
            </w:r>
          </w:p>
        </w:tc>
        <w:tc>
          <w:tcPr>
            <w:tcW w:w="4638" w:type="dxa"/>
            <w:vAlign w:val="center"/>
          </w:tcPr>
          <w:p>
            <w:pPr>
              <w:widowControl w:val="0"/>
              <w:spacing w:line="360" w:lineRule="auto"/>
              <w:jc w:val="center"/>
              <w:rPr>
                <w:rFonts w:ascii="宋体" w:hAnsi="宋体"/>
                <w:b/>
                <w:bCs/>
                <w:sz w:val="24"/>
              </w:rPr>
            </w:pPr>
            <w:r>
              <w:rPr>
                <w:rFonts w:hint="eastAsia" w:ascii="宋体" w:hAnsi="宋体"/>
                <w:b/>
                <w:bCs/>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hint="eastAsia" w:ascii="宋体" w:hAnsi="宋体" w:eastAsia="宋体" w:cs="宋体"/>
                <w:sz w:val="21"/>
                <w:szCs w:val="21"/>
              </w:rPr>
            </w:pPr>
            <w:r>
              <w:rPr>
                <w:rFonts w:hint="eastAsia" w:ascii="宋体" w:hAnsi="宋体" w:eastAsia="宋体" w:cs="宋体"/>
                <w:sz w:val="21"/>
                <w:szCs w:val="21"/>
              </w:rPr>
              <w:t>（1）依法设立</w:t>
            </w:r>
          </w:p>
        </w:tc>
        <w:tc>
          <w:tcPr>
            <w:tcW w:w="1814" w:type="dxa"/>
            <w:vAlign w:val="center"/>
          </w:tcPr>
          <w:p>
            <w:pPr>
              <w:widowControl w:val="0"/>
              <w:spacing w:line="360" w:lineRule="auto"/>
              <w:jc w:val="center"/>
              <w:rPr>
                <w:rFonts w:hint="eastAsia" w:ascii="宋体" w:hAnsi="宋体" w:eastAsia="宋体" w:cs="宋体"/>
                <w:b/>
                <w:bCs/>
                <w:i w:val="0"/>
                <w:iCs w:val="0"/>
                <w:sz w:val="21"/>
                <w:szCs w:val="21"/>
                <w:u w:val="none"/>
              </w:rPr>
            </w:pPr>
            <w:r>
              <w:rPr>
                <w:rStyle w:val="42"/>
                <w:rFonts w:hint="eastAsia" w:ascii="宋体" w:hAnsi="宋体" w:eastAsia="宋体" w:cs="宋体"/>
                <w:i w:val="0"/>
                <w:iCs w:val="0"/>
                <w:sz w:val="21"/>
                <w:szCs w:val="21"/>
                <w:u w:val="none"/>
              </w:rPr>
              <w:sym w:font="Wingdings 2" w:char="0052"/>
            </w:r>
            <w:r>
              <w:rPr>
                <w:rStyle w:val="42"/>
                <w:rFonts w:hint="eastAsia" w:ascii="宋体" w:hAnsi="宋体" w:eastAsia="宋体" w:cs="宋体"/>
                <w:i w:val="0"/>
                <w:iCs w:val="0"/>
                <w:sz w:val="21"/>
                <w:szCs w:val="21"/>
                <w:u w:val="none"/>
              </w:rPr>
              <w:t>适用</w:t>
            </w:r>
          </w:p>
        </w:tc>
        <w:tc>
          <w:tcPr>
            <w:tcW w:w="4638" w:type="dxa"/>
            <w:vAlign w:val="center"/>
          </w:tcPr>
          <w:p>
            <w:pPr>
              <w:widowControl w:val="0"/>
              <w:spacing w:line="360" w:lineRule="auto"/>
              <w:jc w:val="center"/>
              <w:rPr>
                <w:rFonts w:hint="eastAsia" w:ascii="宋体" w:hAnsi="宋体" w:eastAsia="宋体" w:cs="宋体"/>
                <w:i w:val="0"/>
                <w:iCs w:val="0"/>
                <w:sz w:val="21"/>
                <w:szCs w:val="21"/>
                <w:u w:val="none"/>
              </w:rPr>
            </w:pPr>
            <w:r>
              <w:rPr>
                <w:rStyle w:val="42"/>
                <w:rFonts w:hint="eastAsia" w:ascii="宋体" w:hAnsi="宋体" w:eastAsia="宋体" w:cs="宋体"/>
                <w:b w:val="0"/>
                <w:bCs w:val="0"/>
                <w:i w:val="0"/>
                <w:iCs w:val="0"/>
                <w:sz w:val="21"/>
                <w:szCs w:val="21"/>
                <w:u w:val="none"/>
              </w:rPr>
              <w:sym w:font="Wingdings 2" w:char="0052"/>
            </w:r>
            <w:r>
              <w:rPr>
                <w:rStyle w:val="42"/>
                <w:rFonts w:hint="eastAsia" w:ascii="宋体" w:hAnsi="宋体" w:eastAsia="宋体" w:cs="宋体"/>
                <w:b w:val="0"/>
                <w:bCs w:val="0"/>
                <w:i w:val="0"/>
                <w:iCs w:val="0"/>
                <w:sz w:val="21"/>
                <w:szCs w:val="21"/>
                <w:u w:val="non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hint="eastAsia" w:ascii="宋体" w:hAnsi="宋体" w:eastAsia="宋体" w:cs="宋体"/>
                <w:sz w:val="21"/>
                <w:szCs w:val="21"/>
              </w:rPr>
            </w:pPr>
            <w:r>
              <w:rPr>
                <w:rFonts w:hint="eastAsia" w:ascii="宋体" w:hAnsi="宋体" w:eastAsia="宋体" w:cs="宋体"/>
                <w:sz w:val="21"/>
                <w:szCs w:val="21"/>
              </w:rPr>
              <w:t>（2）资质要求</w:t>
            </w:r>
          </w:p>
        </w:tc>
        <w:tc>
          <w:tcPr>
            <w:tcW w:w="1814" w:type="dxa"/>
            <w:vAlign w:val="center"/>
          </w:tcPr>
          <w:p>
            <w:pPr>
              <w:widowControl w:val="0"/>
              <w:spacing w:line="360" w:lineRule="auto"/>
              <w:jc w:val="center"/>
              <w:rPr>
                <w:rFonts w:hint="eastAsia" w:ascii="宋体" w:hAnsi="宋体" w:eastAsia="宋体" w:cs="宋体"/>
                <w:b/>
                <w:bCs/>
                <w:i w:val="0"/>
                <w:iCs w:val="0"/>
                <w:sz w:val="21"/>
                <w:szCs w:val="21"/>
                <w:u w:val="none"/>
              </w:rPr>
            </w:pPr>
            <w:r>
              <w:rPr>
                <w:rStyle w:val="42"/>
                <w:rFonts w:hint="eastAsia" w:ascii="宋体" w:hAnsi="宋体" w:eastAsia="宋体" w:cs="宋体"/>
                <w:i w:val="0"/>
                <w:iCs w:val="0"/>
                <w:sz w:val="21"/>
                <w:szCs w:val="21"/>
                <w:u w:val="none"/>
              </w:rPr>
              <w:sym w:font="Wingdings 2" w:char="0052"/>
            </w:r>
            <w:r>
              <w:rPr>
                <w:rStyle w:val="42"/>
                <w:rFonts w:hint="eastAsia" w:ascii="宋体" w:hAnsi="宋体" w:eastAsia="宋体" w:cs="宋体"/>
                <w:i w:val="0"/>
                <w:iCs w:val="0"/>
                <w:sz w:val="21"/>
                <w:szCs w:val="21"/>
                <w:u w:val="none"/>
              </w:rPr>
              <w:t>适用</w:t>
            </w:r>
          </w:p>
        </w:tc>
        <w:tc>
          <w:tcPr>
            <w:tcW w:w="4638" w:type="dxa"/>
            <w:vAlign w:val="center"/>
          </w:tcPr>
          <w:p>
            <w:pPr>
              <w:widowControl w:val="0"/>
              <w:spacing w:line="360" w:lineRule="auto"/>
              <w:jc w:val="center"/>
              <w:rPr>
                <w:rFonts w:hint="eastAsia" w:ascii="宋体" w:hAnsi="宋体" w:eastAsia="宋体" w:cs="宋体"/>
                <w:i w:val="0"/>
                <w:iCs w:val="0"/>
                <w:sz w:val="21"/>
                <w:szCs w:val="21"/>
                <w:u w:val="none"/>
              </w:rPr>
            </w:pPr>
            <w:r>
              <w:rPr>
                <w:rStyle w:val="42"/>
                <w:rFonts w:hint="eastAsia" w:ascii="宋体" w:hAnsi="宋体" w:eastAsia="宋体" w:cs="宋体"/>
                <w:b w:val="0"/>
                <w:bCs w:val="0"/>
                <w:i w:val="0"/>
                <w:iCs w:val="0"/>
                <w:sz w:val="21"/>
                <w:szCs w:val="21"/>
                <w:u w:val="none"/>
              </w:rPr>
              <w:sym w:font="Wingdings 2" w:char="0052"/>
            </w:r>
            <w:r>
              <w:rPr>
                <w:rStyle w:val="42"/>
                <w:rFonts w:hint="eastAsia" w:ascii="宋体" w:hAnsi="宋体" w:eastAsia="宋体" w:cs="宋体"/>
                <w:b w:val="0"/>
                <w:bCs w:val="0"/>
                <w:i w:val="0"/>
                <w:iCs w:val="0"/>
                <w:sz w:val="21"/>
                <w:szCs w:val="21"/>
                <w:u w:val="non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hint="eastAsia" w:ascii="宋体" w:hAnsi="宋体" w:eastAsia="宋体" w:cs="宋体"/>
                <w:sz w:val="21"/>
                <w:szCs w:val="21"/>
              </w:rPr>
            </w:pPr>
            <w:r>
              <w:rPr>
                <w:rFonts w:hint="eastAsia" w:ascii="宋体" w:hAnsi="宋体" w:eastAsia="宋体" w:cs="宋体"/>
                <w:sz w:val="21"/>
                <w:szCs w:val="21"/>
              </w:rPr>
              <w:t>（3）信誉要求</w:t>
            </w:r>
          </w:p>
        </w:tc>
        <w:tc>
          <w:tcPr>
            <w:tcW w:w="1814" w:type="dxa"/>
            <w:vAlign w:val="center"/>
          </w:tcPr>
          <w:p>
            <w:pPr>
              <w:widowControl w:val="0"/>
              <w:spacing w:line="360" w:lineRule="auto"/>
              <w:jc w:val="center"/>
              <w:rPr>
                <w:rFonts w:hint="eastAsia" w:ascii="宋体" w:hAnsi="宋体" w:eastAsia="宋体" w:cs="宋体"/>
                <w:i w:val="0"/>
                <w:iCs w:val="0"/>
                <w:sz w:val="21"/>
                <w:szCs w:val="21"/>
                <w:u w:val="none"/>
              </w:rPr>
            </w:pPr>
            <w:r>
              <w:rPr>
                <w:rStyle w:val="42"/>
                <w:rFonts w:hint="eastAsia" w:ascii="宋体" w:hAnsi="宋体" w:eastAsia="宋体" w:cs="宋体"/>
                <w:b w:val="0"/>
                <w:bCs w:val="0"/>
                <w:i w:val="0"/>
                <w:iCs w:val="0"/>
                <w:sz w:val="21"/>
                <w:szCs w:val="21"/>
                <w:u w:val="none"/>
              </w:rPr>
              <w:sym w:font="Wingdings 2" w:char="0052"/>
            </w:r>
            <w:r>
              <w:rPr>
                <w:rStyle w:val="42"/>
                <w:rFonts w:hint="eastAsia" w:ascii="宋体" w:hAnsi="宋体" w:eastAsia="宋体" w:cs="宋体"/>
                <w:b w:val="0"/>
                <w:bCs w:val="0"/>
                <w:i w:val="0"/>
                <w:iCs w:val="0"/>
                <w:sz w:val="21"/>
                <w:szCs w:val="21"/>
                <w:u w:val="none"/>
              </w:rPr>
              <w:t>不适用</w:t>
            </w:r>
          </w:p>
        </w:tc>
        <w:tc>
          <w:tcPr>
            <w:tcW w:w="4638" w:type="dxa"/>
            <w:vAlign w:val="center"/>
          </w:tcPr>
          <w:p>
            <w:pPr>
              <w:widowControl w:val="0"/>
              <w:spacing w:line="360" w:lineRule="auto"/>
              <w:jc w:val="center"/>
              <w:rPr>
                <w:rFonts w:hint="eastAsia" w:ascii="宋体" w:hAnsi="宋体" w:eastAsia="宋体" w:cs="宋体"/>
                <w:i w:val="0"/>
                <w:iCs w:val="0"/>
                <w:sz w:val="21"/>
                <w:szCs w:val="21"/>
                <w:u w:val="none"/>
              </w:rPr>
            </w:pPr>
            <w:r>
              <w:rPr>
                <w:rStyle w:val="42"/>
                <w:rFonts w:hint="eastAsia" w:ascii="宋体" w:hAnsi="宋体" w:eastAsia="宋体" w:cs="宋体"/>
                <w:b w:val="0"/>
                <w:bCs w:val="0"/>
                <w:i w:val="0"/>
                <w:iCs w:val="0"/>
                <w:sz w:val="21"/>
                <w:szCs w:val="21"/>
                <w:u w:val="none"/>
              </w:rPr>
              <w:sym w:font="Wingdings 2" w:char="0052"/>
            </w:r>
            <w:r>
              <w:rPr>
                <w:rStyle w:val="42"/>
                <w:rFonts w:hint="eastAsia" w:ascii="宋体" w:hAnsi="宋体" w:eastAsia="宋体" w:cs="宋体"/>
                <w:b w:val="0"/>
                <w:bCs w:val="0"/>
                <w:i w:val="0"/>
                <w:iCs w:val="0"/>
                <w:sz w:val="21"/>
                <w:szCs w:val="21"/>
                <w:u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hint="eastAsia" w:ascii="宋体" w:hAnsi="宋体" w:eastAsia="宋体" w:cs="宋体"/>
                <w:sz w:val="21"/>
                <w:szCs w:val="21"/>
              </w:rPr>
            </w:pPr>
            <w:r>
              <w:rPr>
                <w:rFonts w:hint="eastAsia" w:ascii="宋体" w:hAnsi="宋体" w:eastAsia="宋体" w:cs="宋体"/>
                <w:sz w:val="21"/>
                <w:szCs w:val="21"/>
              </w:rPr>
              <w:t>（4）承担本项目的主要人员要求</w:t>
            </w:r>
          </w:p>
        </w:tc>
        <w:tc>
          <w:tcPr>
            <w:tcW w:w="1814" w:type="dxa"/>
            <w:vAlign w:val="center"/>
          </w:tcPr>
          <w:p>
            <w:pPr>
              <w:widowControl w:val="0"/>
              <w:spacing w:line="360" w:lineRule="auto"/>
              <w:jc w:val="center"/>
              <w:rPr>
                <w:rFonts w:hint="eastAsia" w:ascii="宋体" w:hAnsi="宋体" w:eastAsia="宋体" w:cs="宋体"/>
                <w:i w:val="0"/>
                <w:iCs w:val="0"/>
                <w:sz w:val="21"/>
                <w:szCs w:val="21"/>
                <w:u w:val="none"/>
              </w:rPr>
            </w:pPr>
            <w:r>
              <w:rPr>
                <w:rStyle w:val="42"/>
                <w:rFonts w:hint="eastAsia" w:ascii="宋体" w:hAnsi="宋体" w:eastAsia="宋体" w:cs="宋体"/>
                <w:i w:val="0"/>
                <w:iCs w:val="0"/>
                <w:sz w:val="21"/>
                <w:szCs w:val="21"/>
                <w:u w:val="none"/>
              </w:rPr>
              <w:sym w:font="Wingdings 2" w:char="0052"/>
            </w:r>
            <w:r>
              <w:rPr>
                <w:rStyle w:val="42"/>
                <w:rFonts w:hint="eastAsia" w:ascii="宋体" w:hAnsi="宋体" w:eastAsia="宋体" w:cs="宋体"/>
                <w:i w:val="0"/>
                <w:iCs w:val="0"/>
                <w:sz w:val="21"/>
                <w:szCs w:val="21"/>
                <w:u w:val="none"/>
              </w:rPr>
              <w:t>适用</w:t>
            </w:r>
          </w:p>
        </w:tc>
        <w:tc>
          <w:tcPr>
            <w:tcW w:w="4638" w:type="dxa"/>
            <w:vAlign w:val="center"/>
          </w:tcPr>
          <w:p>
            <w:pPr>
              <w:widowControl w:val="0"/>
              <w:spacing w:line="360" w:lineRule="auto"/>
              <w:jc w:val="center"/>
              <w:rPr>
                <w:rFonts w:hint="eastAsia" w:ascii="宋体" w:hAnsi="宋体" w:eastAsia="宋体" w:cs="宋体"/>
                <w:i w:val="0"/>
                <w:iCs w:val="0"/>
                <w:sz w:val="21"/>
                <w:szCs w:val="21"/>
                <w:u w:val="none"/>
              </w:rPr>
            </w:pPr>
            <w:r>
              <w:rPr>
                <w:rStyle w:val="42"/>
                <w:rFonts w:hint="eastAsia" w:ascii="宋体" w:hAnsi="宋体" w:eastAsia="宋体" w:cs="宋体"/>
                <w:b w:val="0"/>
                <w:bCs w:val="0"/>
                <w:i w:val="0"/>
                <w:iCs w:val="0"/>
                <w:sz w:val="21"/>
                <w:szCs w:val="21"/>
                <w:u w:val="none"/>
              </w:rPr>
              <w:sym w:font="Wingdings 2" w:char="0052"/>
            </w:r>
            <w:r>
              <w:rPr>
                <w:rStyle w:val="42"/>
                <w:rFonts w:hint="eastAsia" w:ascii="宋体" w:hAnsi="宋体" w:eastAsia="宋体" w:cs="宋体"/>
                <w:b w:val="0"/>
                <w:bCs w:val="0"/>
                <w:i w:val="0"/>
                <w:iCs w:val="0"/>
                <w:sz w:val="21"/>
                <w:szCs w:val="21"/>
                <w:u w:val="non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358" w:type="dxa"/>
            <w:vAlign w:val="center"/>
          </w:tcPr>
          <w:p>
            <w:pPr>
              <w:widowControl w:val="0"/>
              <w:spacing w:line="360" w:lineRule="auto"/>
              <w:jc w:val="left"/>
              <w:rPr>
                <w:rFonts w:hint="eastAsia" w:ascii="宋体" w:hAnsi="宋体" w:eastAsia="宋体" w:cs="宋体"/>
                <w:sz w:val="21"/>
                <w:szCs w:val="21"/>
              </w:rPr>
            </w:pPr>
            <w:r>
              <w:rPr>
                <w:rFonts w:hint="eastAsia" w:ascii="宋体" w:hAnsi="宋体" w:eastAsia="宋体" w:cs="宋体"/>
                <w:sz w:val="21"/>
                <w:szCs w:val="21"/>
              </w:rPr>
              <w:t>（5）其他要求</w:t>
            </w:r>
          </w:p>
        </w:tc>
        <w:tc>
          <w:tcPr>
            <w:tcW w:w="1814" w:type="dxa"/>
            <w:vAlign w:val="center"/>
          </w:tcPr>
          <w:p>
            <w:pPr>
              <w:widowControl w:val="0"/>
              <w:spacing w:line="360" w:lineRule="auto"/>
              <w:jc w:val="center"/>
              <w:rPr>
                <w:rFonts w:hint="eastAsia" w:ascii="宋体" w:hAnsi="宋体" w:eastAsia="宋体" w:cs="宋体"/>
                <w:i w:val="0"/>
                <w:iCs w:val="0"/>
                <w:sz w:val="21"/>
                <w:szCs w:val="21"/>
                <w:u w:val="none"/>
              </w:rPr>
            </w:pPr>
            <w:r>
              <w:rPr>
                <w:rStyle w:val="42"/>
                <w:rFonts w:hint="eastAsia" w:ascii="宋体" w:hAnsi="宋体" w:eastAsia="宋体" w:cs="宋体"/>
                <w:b/>
                <w:bCs/>
                <w:i w:val="0"/>
                <w:iCs w:val="0"/>
                <w:sz w:val="21"/>
                <w:szCs w:val="21"/>
                <w:u w:val="none"/>
              </w:rPr>
              <w:sym w:font="Wingdings 2" w:char="0052"/>
            </w:r>
            <w:r>
              <w:rPr>
                <w:rStyle w:val="42"/>
                <w:rFonts w:hint="eastAsia" w:ascii="宋体" w:hAnsi="宋体" w:eastAsia="宋体" w:cs="宋体"/>
                <w:b/>
                <w:bCs/>
                <w:i w:val="0"/>
                <w:iCs w:val="0"/>
                <w:sz w:val="21"/>
                <w:szCs w:val="21"/>
                <w:u w:val="none"/>
              </w:rPr>
              <w:t>适用</w:t>
            </w:r>
          </w:p>
        </w:tc>
        <w:tc>
          <w:tcPr>
            <w:tcW w:w="4638" w:type="dxa"/>
            <w:vAlign w:val="center"/>
          </w:tcPr>
          <w:p>
            <w:pPr>
              <w:widowControl w:val="0"/>
              <w:spacing w:line="360" w:lineRule="auto"/>
              <w:jc w:val="center"/>
              <w:rPr>
                <w:rFonts w:hint="eastAsia" w:ascii="宋体" w:hAnsi="宋体" w:eastAsia="宋体" w:cs="宋体"/>
                <w:i w:val="0"/>
                <w:iCs w:val="0"/>
                <w:sz w:val="21"/>
                <w:szCs w:val="21"/>
                <w:u w:val="none"/>
              </w:rPr>
            </w:pPr>
            <w:r>
              <w:rPr>
                <w:rStyle w:val="42"/>
                <w:rFonts w:hint="eastAsia" w:ascii="宋体" w:hAnsi="宋体" w:eastAsia="宋体" w:cs="宋体"/>
                <w:b w:val="0"/>
                <w:bCs w:val="0"/>
                <w:i w:val="0"/>
                <w:iCs w:val="0"/>
                <w:sz w:val="21"/>
                <w:szCs w:val="21"/>
                <w:u w:val="none"/>
              </w:rPr>
              <w:sym w:font="Wingdings 2" w:char="0052"/>
            </w:r>
            <w:r>
              <w:rPr>
                <w:rStyle w:val="42"/>
                <w:rFonts w:hint="eastAsia" w:ascii="宋体" w:hAnsi="宋体" w:eastAsia="宋体" w:cs="宋体"/>
                <w:b w:val="0"/>
                <w:bCs w:val="0"/>
                <w:i w:val="0"/>
                <w:iCs w:val="0"/>
                <w:sz w:val="21"/>
                <w:szCs w:val="21"/>
                <w:u w:val="none"/>
              </w:rPr>
              <w:t>适用,见采购文件供应商须知前附表3.5.</w:t>
            </w:r>
            <w:r>
              <w:rPr>
                <w:rStyle w:val="42"/>
                <w:rFonts w:hint="eastAsia" w:ascii="宋体" w:hAnsi="宋体" w:eastAsia="宋体" w:cs="宋体"/>
                <w:b w:val="0"/>
                <w:bCs w:val="0"/>
                <w:i w:val="0"/>
                <w:iCs w:val="0"/>
                <w:sz w:val="21"/>
                <w:szCs w:val="21"/>
                <w:u w:val="none"/>
                <w:lang w:val="en-US" w:eastAsia="zh-CN"/>
              </w:rPr>
              <w:t>5</w:t>
            </w:r>
            <w:r>
              <w:rPr>
                <w:rStyle w:val="42"/>
                <w:rFonts w:hint="eastAsia" w:ascii="宋体" w:hAnsi="宋体" w:eastAsia="宋体" w:cs="宋体"/>
                <w:b w:val="0"/>
                <w:bCs w:val="0"/>
                <w:i w:val="0"/>
                <w:iCs w:val="0"/>
                <w:sz w:val="21"/>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2358" w:type="dxa"/>
            <w:vAlign w:val="center"/>
          </w:tcPr>
          <w:p>
            <w:pPr>
              <w:widowControl w:val="0"/>
              <w:spacing w:line="360" w:lineRule="auto"/>
              <w:jc w:val="left"/>
              <w:rPr>
                <w:rFonts w:hint="eastAsia" w:ascii="宋体" w:hAnsi="宋体" w:eastAsia="宋体" w:cs="宋体"/>
                <w:sz w:val="21"/>
                <w:szCs w:val="21"/>
              </w:rPr>
            </w:pPr>
            <w:r>
              <w:rPr>
                <w:rFonts w:hint="eastAsia" w:ascii="宋体" w:hAnsi="宋体" w:eastAsia="宋体" w:cs="宋体"/>
                <w:sz w:val="21"/>
                <w:szCs w:val="21"/>
              </w:rPr>
              <w:t>（6）供应商不存在第一章3.1款情形的证明材料</w:t>
            </w:r>
          </w:p>
        </w:tc>
        <w:tc>
          <w:tcPr>
            <w:tcW w:w="1814" w:type="dxa"/>
            <w:vAlign w:val="center"/>
          </w:tcPr>
          <w:p>
            <w:pPr>
              <w:widowControl w:val="0"/>
              <w:spacing w:line="360" w:lineRule="auto"/>
              <w:jc w:val="center"/>
              <w:rPr>
                <w:rStyle w:val="42"/>
                <w:rFonts w:hint="eastAsia" w:ascii="宋体" w:hAnsi="宋体" w:eastAsia="宋体" w:cs="宋体"/>
                <w:b w:val="0"/>
                <w:bCs w:val="0"/>
                <w:i w:val="0"/>
                <w:iCs w:val="0"/>
                <w:sz w:val="21"/>
                <w:szCs w:val="21"/>
                <w:u w:val="none"/>
              </w:rPr>
            </w:pPr>
          </w:p>
          <w:p>
            <w:pPr>
              <w:widowControl w:val="0"/>
              <w:spacing w:line="360" w:lineRule="auto"/>
              <w:jc w:val="center"/>
              <w:rPr>
                <w:rFonts w:hint="eastAsia" w:ascii="宋体" w:hAnsi="宋体" w:eastAsia="宋体" w:cs="宋体"/>
                <w:i w:val="0"/>
                <w:iCs w:val="0"/>
                <w:sz w:val="21"/>
                <w:szCs w:val="21"/>
                <w:u w:val="none"/>
              </w:rPr>
            </w:pPr>
            <w:r>
              <w:rPr>
                <w:rStyle w:val="42"/>
                <w:rFonts w:hint="eastAsia" w:ascii="宋体" w:hAnsi="宋体" w:eastAsia="宋体" w:cs="宋体"/>
                <w:i w:val="0"/>
                <w:iCs w:val="0"/>
                <w:sz w:val="21"/>
                <w:szCs w:val="21"/>
                <w:u w:val="none"/>
              </w:rPr>
              <w:sym w:font="Wingdings 2" w:char="0052"/>
            </w:r>
            <w:r>
              <w:rPr>
                <w:rStyle w:val="42"/>
                <w:rFonts w:hint="eastAsia" w:ascii="宋体" w:hAnsi="宋体" w:eastAsia="宋体" w:cs="宋体"/>
                <w:i w:val="0"/>
                <w:iCs w:val="0"/>
                <w:sz w:val="21"/>
                <w:szCs w:val="21"/>
                <w:u w:val="none"/>
              </w:rPr>
              <w:t>适用</w:t>
            </w:r>
          </w:p>
        </w:tc>
        <w:tc>
          <w:tcPr>
            <w:tcW w:w="4638" w:type="dxa"/>
            <w:vAlign w:val="center"/>
          </w:tcPr>
          <w:p>
            <w:pPr>
              <w:widowControl w:val="0"/>
              <w:spacing w:line="360" w:lineRule="auto"/>
              <w:jc w:val="center"/>
              <w:rPr>
                <w:rStyle w:val="42"/>
                <w:rFonts w:hint="eastAsia" w:ascii="宋体" w:hAnsi="宋体" w:eastAsia="宋体" w:cs="宋体"/>
                <w:b w:val="0"/>
                <w:bCs w:val="0"/>
                <w:i w:val="0"/>
                <w:iCs w:val="0"/>
                <w:sz w:val="21"/>
                <w:szCs w:val="21"/>
                <w:u w:val="none"/>
              </w:rPr>
            </w:pPr>
          </w:p>
          <w:p>
            <w:pPr>
              <w:widowControl w:val="0"/>
              <w:spacing w:line="360" w:lineRule="auto"/>
              <w:jc w:val="center"/>
              <w:rPr>
                <w:rFonts w:hint="eastAsia" w:ascii="宋体" w:hAnsi="宋体" w:eastAsia="宋体" w:cs="宋体"/>
                <w:i w:val="0"/>
                <w:iCs w:val="0"/>
                <w:sz w:val="21"/>
                <w:szCs w:val="21"/>
                <w:u w:val="none"/>
              </w:rPr>
            </w:pPr>
            <w:r>
              <w:rPr>
                <w:rStyle w:val="42"/>
                <w:rFonts w:hint="eastAsia" w:ascii="宋体" w:hAnsi="宋体" w:eastAsia="宋体" w:cs="宋体"/>
                <w:b w:val="0"/>
                <w:bCs w:val="0"/>
                <w:i w:val="0"/>
                <w:iCs w:val="0"/>
                <w:sz w:val="21"/>
                <w:szCs w:val="21"/>
                <w:u w:val="none"/>
              </w:rPr>
              <w:sym w:font="Wingdings 2" w:char="0052"/>
            </w:r>
            <w:r>
              <w:rPr>
                <w:rStyle w:val="42"/>
                <w:rFonts w:hint="eastAsia" w:ascii="宋体" w:hAnsi="宋体" w:eastAsia="宋体" w:cs="宋体"/>
                <w:b w:val="0"/>
                <w:bCs w:val="0"/>
                <w:i w:val="0"/>
                <w:iCs w:val="0"/>
                <w:sz w:val="21"/>
                <w:szCs w:val="21"/>
                <w:u w:val="none"/>
              </w:rPr>
              <w:t>适用,见采购文件供应商须知前附表3.5.6。</w:t>
            </w:r>
          </w:p>
        </w:tc>
      </w:tr>
    </w:tbl>
    <w:p>
      <w:pPr>
        <w:pStyle w:val="9"/>
        <w:spacing w:line="360" w:lineRule="auto"/>
        <w:jc w:val="both"/>
        <w:rPr>
          <w:rFonts w:ascii="Arial" w:hAnsi="Arial"/>
        </w:rPr>
      </w:pPr>
      <w:r>
        <w:rPr>
          <w:rFonts w:hint="eastAsia"/>
        </w:rPr>
        <w:t xml:space="preserve">4 </w:t>
      </w:r>
      <w:r>
        <w:rPr>
          <w:rFonts w:hint="eastAsia" w:ascii="黑体" w:hAnsi="黑体"/>
        </w:rPr>
        <w:t>响应保证金</w:t>
      </w:r>
    </w:p>
    <w:p>
      <w:pPr>
        <w:pStyle w:val="9"/>
        <w:spacing w:line="360" w:lineRule="auto"/>
        <w:jc w:val="both"/>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无</w:t>
      </w:r>
    </w:p>
    <w:p>
      <w:pPr>
        <w:pStyle w:val="9"/>
        <w:spacing w:line="360" w:lineRule="auto"/>
        <w:jc w:val="both"/>
        <w:rPr>
          <w:rFonts w:ascii="Arial" w:hAnsi="Arial"/>
        </w:rPr>
      </w:pPr>
      <w:r>
        <w:rPr>
          <w:rFonts w:hint="eastAsia"/>
        </w:rPr>
        <w:t>5</w:t>
      </w:r>
      <w:r>
        <w:t xml:space="preserve"> </w:t>
      </w:r>
      <w:r>
        <w:rPr>
          <w:rFonts w:hint="eastAsia" w:ascii="黑体" w:hAnsi="黑体"/>
        </w:rPr>
        <w:t>确定成交供应商的方法</w:t>
      </w:r>
    </w:p>
    <w:p>
      <w:pPr>
        <w:autoSpaceDE w:val="0"/>
        <w:spacing w:line="360" w:lineRule="auto"/>
        <w:jc w:val="both"/>
        <w:rPr>
          <w:rStyle w:val="42"/>
          <w:b w:val="0"/>
          <w:bCs w:val="0"/>
        </w:rPr>
      </w:pPr>
      <w:r>
        <w:rPr>
          <w:rFonts w:hint="eastAsia" w:ascii="宋体" w:hAnsi="宋体"/>
          <w:b w:val="0"/>
          <w:bCs w:val="0"/>
          <w:sz w:val="24"/>
        </w:rPr>
        <w:t>5.1 综合评分法</w:t>
      </w:r>
    </w:p>
    <w:p>
      <w:pPr>
        <w:autoSpaceDE w:val="0"/>
        <w:spacing w:line="360" w:lineRule="auto"/>
        <w:jc w:val="both"/>
        <w:rPr>
          <w:rFonts w:ascii="宋体" w:hAnsi="宋体"/>
          <w:sz w:val="24"/>
        </w:rPr>
      </w:pPr>
      <w:r>
        <w:rPr>
          <w:rFonts w:hint="eastAsia" w:ascii="宋体" w:hAnsi="宋体"/>
          <w:b/>
          <w:bCs/>
          <w:sz w:val="24"/>
        </w:rPr>
        <w:t>5.2</w:t>
      </w:r>
      <w:r>
        <w:rPr>
          <w:rFonts w:hint="eastAsia" w:ascii="宋体" w:hAnsi="宋体"/>
          <w:sz w:val="24"/>
        </w:rPr>
        <w:t xml:space="preserve"> 采购人应当确定综合排名第一的成交候选供应商为成交供应商。若排名第一的成交候选供应商未通过履约能力和报价核查，采购人应按推荐的名单排序依次确定其他成交候选供应商为成交供应商。 </w:t>
      </w:r>
    </w:p>
    <w:p>
      <w:pPr>
        <w:pStyle w:val="9"/>
        <w:spacing w:line="360" w:lineRule="auto"/>
        <w:jc w:val="both"/>
        <w:rPr>
          <w:rFonts w:ascii="黑体" w:hAnsi="黑体"/>
          <w:highlight w:val="none"/>
        </w:rPr>
      </w:pPr>
      <w:r>
        <w:rPr>
          <w:rFonts w:hint="eastAsia"/>
        </w:rPr>
        <w:t>6</w:t>
      </w:r>
      <w:r>
        <w:rPr>
          <w:rFonts w:hint="eastAsia" w:ascii="黑体" w:hAnsi="黑体"/>
        </w:rPr>
        <w:t>采购文件</w:t>
      </w:r>
      <w:r>
        <w:rPr>
          <w:rFonts w:hint="eastAsia" w:ascii="黑体" w:hAnsi="黑体"/>
          <w:highlight w:val="none"/>
        </w:rPr>
        <w:t>获取</w:t>
      </w:r>
    </w:p>
    <w:p>
      <w:pPr>
        <w:autoSpaceDE w:val="0"/>
        <w:spacing w:line="360" w:lineRule="auto"/>
        <w:rPr>
          <w:rFonts w:hint="eastAsia" w:ascii="宋体" w:hAnsi="宋体" w:eastAsia="宋体"/>
          <w:sz w:val="24"/>
          <w:highlight w:val="none"/>
          <w:lang w:eastAsia="zh-CN"/>
        </w:rPr>
      </w:pPr>
      <w:r>
        <w:rPr>
          <w:rFonts w:hint="eastAsia" w:ascii="宋体" w:hAnsi="宋体"/>
          <w:b/>
          <w:bCs/>
          <w:sz w:val="24"/>
          <w:highlight w:val="none"/>
        </w:rPr>
        <w:t xml:space="preserve">6.1 </w:t>
      </w:r>
      <w:r>
        <w:rPr>
          <w:rFonts w:hint="eastAsia" w:ascii="宋体" w:hAnsi="宋体"/>
          <w:sz w:val="24"/>
          <w:highlight w:val="none"/>
        </w:rPr>
        <w:t>供应商应当于202</w:t>
      </w:r>
      <w:r>
        <w:rPr>
          <w:rFonts w:ascii="宋体" w:hAnsi="宋体"/>
          <w:sz w:val="24"/>
          <w:highlight w:val="none"/>
        </w:rPr>
        <w:t>3</w:t>
      </w:r>
      <w:r>
        <w:rPr>
          <w:rFonts w:hint="eastAsia" w:ascii="宋体" w:hAnsi="宋体"/>
          <w:sz w:val="24"/>
          <w:highlight w:val="none"/>
        </w:rPr>
        <w:t>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26</w:t>
      </w:r>
      <w:r>
        <w:rPr>
          <w:rFonts w:hint="eastAsia" w:ascii="宋体" w:hAnsi="宋体"/>
          <w:sz w:val="24"/>
          <w:highlight w:val="none"/>
        </w:rPr>
        <w:t>日至202</w:t>
      </w:r>
      <w:r>
        <w:rPr>
          <w:rFonts w:ascii="宋体" w:hAnsi="宋体"/>
          <w:sz w:val="24"/>
          <w:highlight w:val="none"/>
        </w:rPr>
        <w:t>3</w:t>
      </w:r>
      <w:r>
        <w:rPr>
          <w:rFonts w:hint="eastAsia" w:ascii="宋体" w:hAnsi="宋体"/>
          <w:sz w:val="24"/>
          <w:highlight w:val="none"/>
        </w:rPr>
        <w:t>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30</w:t>
      </w:r>
      <w:r>
        <w:rPr>
          <w:rFonts w:hint="eastAsia" w:ascii="宋体" w:hAnsi="宋体"/>
          <w:sz w:val="24"/>
          <w:highlight w:val="none"/>
        </w:rPr>
        <w:t>日</w:t>
      </w:r>
      <w:r>
        <w:rPr>
          <w:rFonts w:hint="eastAsia" w:ascii="宋体" w:hAnsi="宋体"/>
          <w:sz w:val="24"/>
          <w:highlight w:val="none"/>
        </w:rPr>
        <w:t>，在湖南省湘水集团有限公司网站（http：//www.hnsxsjt.com）、湖南省港务集团有限公司网站（http://www.hnsgwjt.com）网站上获取采购文件</w:t>
      </w:r>
      <w:r>
        <w:rPr>
          <w:rFonts w:hint="eastAsia" w:ascii="宋体" w:hAnsi="宋体"/>
          <w:sz w:val="24"/>
          <w:highlight w:val="none"/>
          <w:lang w:eastAsia="zh-CN"/>
        </w:rPr>
        <w:t>。</w:t>
      </w:r>
    </w:p>
    <w:p>
      <w:pPr>
        <w:autoSpaceDE w:val="0"/>
        <w:spacing w:line="360" w:lineRule="auto"/>
        <w:rPr>
          <w:rFonts w:ascii="宋体" w:hAnsi="宋体"/>
          <w:sz w:val="24"/>
          <w:highlight w:val="none"/>
        </w:rPr>
      </w:pPr>
      <w:r>
        <w:rPr>
          <w:rFonts w:hint="eastAsia" w:ascii="宋体" w:hAnsi="宋体"/>
          <w:sz w:val="24"/>
          <w:highlight w:val="none"/>
        </w:rPr>
        <w:t>6.2 响应文件递交截止时间：202</w:t>
      </w:r>
      <w:r>
        <w:rPr>
          <w:rFonts w:ascii="宋体" w:hAnsi="宋体"/>
          <w:sz w:val="24"/>
          <w:highlight w:val="none"/>
        </w:rPr>
        <w:t>3</w:t>
      </w:r>
      <w:r>
        <w:rPr>
          <w:rFonts w:hint="eastAsia" w:ascii="宋体" w:hAnsi="宋体"/>
          <w:sz w:val="24"/>
          <w:highlight w:val="none"/>
        </w:rPr>
        <w:t>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31</w:t>
      </w:r>
      <w:r>
        <w:rPr>
          <w:rFonts w:hint="eastAsia" w:ascii="宋体" w:hAnsi="宋体"/>
          <w:sz w:val="24"/>
          <w:highlight w:val="none"/>
        </w:rPr>
        <w:t>日</w:t>
      </w:r>
      <w:r>
        <w:rPr>
          <w:rFonts w:hint="eastAsia" w:ascii="宋体" w:hAnsi="宋体"/>
          <w:sz w:val="24"/>
          <w:highlight w:val="none"/>
          <w:lang w:val="en-US" w:eastAsia="zh-CN"/>
        </w:rPr>
        <w:t>9</w:t>
      </w:r>
      <w:r>
        <w:rPr>
          <w:rFonts w:hint="eastAsia" w:ascii="宋体" w:hAnsi="宋体"/>
          <w:sz w:val="24"/>
          <w:highlight w:val="none"/>
        </w:rPr>
        <w:t>时</w:t>
      </w:r>
      <w:r>
        <w:rPr>
          <w:rFonts w:hint="eastAsia" w:ascii="宋体" w:hAnsi="宋体"/>
          <w:sz w:val="24"/>
          <w:highlight w:val="none"/>
          <w:lang w:val="en-US" w:eastAsia="zh-CN"/>
        </w:rPr>
        <w:t>30</w:t>
      </w:r>
      <w:r>
        <w:rPr>
          <w:rFonts w:hint="eastAsia" w:ascii="宋体" w:hAnsi="宋体"/>
          <w:sz w:val="24"/>
          <w:highlight w:val="none"/>
        </w:rPr>
        <w:t>分；</w:t>
      </w:r>
    </w:p>
    <w:p>
      <w:pPr>
        <w:autoSpaceDE w:val="0"/>
        <w:spacing w:line="360" w:lineRule="auto"/>
        <w:jc w:val="both"/>
        <w:rPr>
          <w:rFonts w:hint="default" w:ascii="宋体" w:hAnsi="宋体"/>
          <w:b/>
          <w:bCs/>
          <w:color w:val="FF0000"/>
          <w:sz w:val="24"/>
          <w:highlight w:val="none"/>
          <w:u w:val="none"/>
          <w:lang w:val="en-US"/>
        </w:rPr>
      </w:pPr>
      <w:r>
        <w:rPr>
          <w:rFonts w:hint="eastAsia" w:ascii="宋体" w:hAnsi="宋体" w:cs="宋体"/>
          <w:color w:val="000000"/>
          <w:sz w:val="24"/>
          <w:highlight w:val="none"/>
        </w:rPr>
        <w:t>递交响应文件的地点：</w:t>
      </w:r>
      <w:r>
        <w:rPr>
          <w:rFonts w:hint="eastAsia" w:ascii="宋体" w:hAnsi="宋体"/>
          <w:sz w:val="24"/>
          <w:highlight w:val="none"/>
          <w:u w:val="none"/>
          <w:lang w:val="en-US" w:eastAsia="zh-CN"/>
        </w:rPr>
        <w:t>湖南省港务集团有限公司六楼602开标室</w:t>
      </w:r>
    </w:p>
    <w:p>
      <w:pPr>
        <w:autoSpaceDE w:val="0"/>
        <w:spacing w:line="360" w:lineRule="auto"/>
        <w:jc w:val="both"/>
        <w:rPr>
          <w:highlight w:val="none"/>
        </w:rPr>
      </w:pPr>
      <w:r>
        <w:rPr>
          <w:rFonts w:hint="eastAsia" w:ascii="宋体" w:hAnsi="宋体"/>
          <w:b/>
          <w:bCs/>
          <w:sz w:val="24"/>
          <w:highlight w:val="none"/>
        </w:rPr>
        <w:t xml:space="preserve">6.3 </w:t>
      </w:r>
      <w:r>
        <w:rPr>
          <w:rFonts w:hint="eastAsia" w:ascii="宋体" w:hAnsi="宋体"/>
          <w:sz w:val="24"/>
          <w:highlight w:val="none"/>
        </w:rPr>
        <w:t>供应商若对本项目采购需求、资格要求等有疑问的，应当于202</w:t>
      </w:r>
      <w:r>
        <w:rPr>
          <w:rFonts w:ascii="宋体" w:hAnsi="宋体"/>
          <w:sz w:val="24"/>
          <w:highlight w:val="none"/>
        </w:rPr>
        <w:t>3</w:t>
      </w:r>
      <w:r>
        <w:rPr>
          <w:rFonts w:hint="eastAsia" w:ascii="宋体" w:hAnsi="宋体"/>
          <w:sz w:val="24"/>
          <w:highlight w:val="none"/>
        </w:rPr>
        <w:t>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30</w:t>
      </w:r>
      <w:r>
        <w:rPr>
          <w:rFonts w:hint="eastAsia" w:ascii="宋体" w:hAnsi="宋体"/>
          <w:sz w:val="24"/>
          <w:highlight w:val="none"/>
        </w:rPr>
        <w:t>日17时30分前向采购人提出澄清要求。</w:t>
      </w:r>
    </w:p>
    <w:p>
      <w:pPr>
        <w:pStyle w:val="9"/>
        <w:spacing w:line="360" w:lineRule="auto"/>
        <w:jc w:val="both"/>
      </w:pPr>
      <w:r>
        <w:rPr>
          <w:rFonts w:hint="eastAsia"/>
        </w:rPr>
        <w:t>7</w:t>
      </w:r>
      <w:r>
        <w:t xml:space="preserve"> </w:t>
      </w:r>
      <w:r>
        <w:rPr>
          <w:rFonts w:hint="eastAsia"/>
        </w:rPr>
        <w:t>发布</w:t>
      </w:r>
      <w:r>
        <w:rPr>
          <w:rFonts w:hint="eastAsia" w:ascii="黑体" w:hAnsi="黑体"/>
        </w:rPr>
        <w:t>公告的</w:t>
      </w:r>
      <w:r>
        <w:rPr>
          <w:rFonts w:hint="eastAsia"/>
        </w:rPr>
        <w:t>媒介</w:t>
      </w:r>
    </w:p>
    <w:p>
      <w:pPr>
        <w:widowControl w:val="0"/>
        <w:spacing w:line="360" w:lineRule="auto"/>
        <w:ind w:firstLine="480" w:firstLineChars="200"/>
        <w:rPr>
          <w:rFonts w:ascii="宋体" w:hAnsi="宋体"/>
          <w:bCs/>
          <w:sz w:val="24"/>
        </w:rPr>
      </w:pPr>
      <w:r>
        <w:rPr>
          <w:rFonts w:hint="eastAsia" w:ascii="宋体" w:hAnsi="宋体"/>
          <w:bCs/>
          <w:sz w:val="24"/>
        </w:rPr>
        <w:t>本次采购公告</w:t>
      </w:r>
      <w:r>
        <w:rPr>
          <w:rFonts w:hint="eastAsia" w:ascii="宋体" w:hAnsi="宋体"/>
          <w:sz w:val="24"/>
        </w:rPr>
        <w:t>发布的媒介:</w:t>
      </w:r>
      <w:r>
        <w:rPr>
          <w:rFonts w:hint="eastAsia" w:ascii="宋体" w:hAnsi="宋体" w:cs="宋体"/>
          <w:sz w:val="24"/>
        </w:rPr>
        <w:t xml:space="preserve"> </w:t>
      </w:r>
      <w:r>
        <w:rPr>
          <w:rFonts w:hint="eastAsia" w:ascii="宋体" w:hAnsi="宋体"/>
          <w:bCs/>
          <w:sz w:val="24"/>
        </w:rPr>
        <w:t>中国招标投标公共服务平台（http：//www.cebpubservice.com）、湖南省湘水集团有限公司网站（http：//www.hnsxsjt.com）、湖南省港务集团有限公司门户网站（http://www.hnsgwjt.com/）上发布。</w:t>
      </w:r>
    </w:p>
    <w:p>
      <w:pPr>
        <w:pStyle w:val="9"/>
        <w:spacing w:line="360" w:lineRule="auto"/>
        <w:jc w:val="both"/>
      </w:pPr>
      <w:r>
        <w:rPr>
          <w:rFonts w:hint="eastAsia"/>
        </w:rPr>
        <w:t>8</w:t>
      </w:r>
      <w:bookmarkStart w:id="1" w:name="_Toc77254104"/>
      <w:bookmarkStart w:id="2" w:name="_Toc512257471"/>
      <w:bookmarkStart w:id="3" w:name="_Toc76635692"/>
      <w:bookmarkStart w:id="4" w:name="_Toc79596547"/>
      <w:r>
        <w:t xml:space="preserve"> 监督</w:t>
      </w:r>
      <w:bookmarkEnd w:id="1"/>
      <w:bookmarkEnd w:id="2"/>
      <w:bookmarkEnd w:id="3"/>
      <w:r>
        <w:rPr>
          <w:rFonts w:hint="eastAsia"/>
        </w:rPr>
        <w:t>部门</w:t>
      </w:r>
      <w:bookmarkEnd w:id="4"/>
    </w:p>
    <w:p>
      <w:pPr>
        <w:spacing w:line="360" w:lineRule="auto"/>
        <w:rPr>
          <w:rFonts w:cs="Times New Roman"/>
          <w:u w:val="single"/>
        </w:rPr>
      </w:pPr>
      <w:r>
        <w:rPr>
          <w:rFonts w:hint="eastAsia" w:ascii="宋体" w:hAnsi="宋体"/>
          <w:bCs/>
          <w:sz w:val="24"/>
        </w:rPr>
        <w:t>本次采购监督部门为</w:t>
      </w:r>
      <w:r>
        <w:rPr>
          <w:rFonts w:hint="eastAsia" w:ascii="宋体" w:hAnsi="宋体" w:cs="宋体"/>
          <w:sz w:val="24"/>
          <w:szCs w:val="32"/>
          <w:u w:val="single"/>
        </w:rPr>
        <w:t>岳阳城陵矶新港有限公司综合管理部</w:t>
      </w:r>
      <w:r>
        <w:t>，</w:t>
      </w:r>
      <w:r>
        <w:rPr>
          <w:rFonts w:hint="eastAsia" w:ascii="宋体" w:hAnsi="宋体"/>
          <w:bCs/>
          <w:sz w:val="24"/>
        </w:rPr>
        <w:t>电话：</w:t>
      </w:r>
      <w:r>
        <w:rPr>
          <w:rFonts w:hint="eastAsia" w:ascii="宋体" w:hAnsi="宋体" w:cs="宋体"/>
          <w:b w:val="0"/>
          <w:bCs w:val="0"/>
          <w:sz w:val="24"/>
          <w:u w:val="single"/>
          <w:lang w:val="en-US" w:eastAsia="zh-CN"/>
        </w:rPr>
        <w:t>13975080729</w:t>
      </w:r>
    </w:p>
    <w:p>
      <w:pPr>
        <w:pStyle w:val="9"/>
        <w:spacing w:line="360" w:lineRule="auto"/>
        <w:jc w:val="both"/>
        <w:rPr>
          <w:rFonts w:ascii="Arial" w:hAnsi="Arial"/>
        </w:rPr>
      </w:pPr>
      <w:r>
        <w:t>9</w:t>
      </w:r>
      <w:r>
        <w:rPr>
          <w:rFonts w:hint="eastAsia"/>
        </w:rPr>
        <w:t xml:space="preserve"> </w:t>
      </w:r>
      <w:r>
        <w:rPr>
          <w:rFonts w:hint="eastAsia" w:ascii="黑体" w:hAnsi="黑体"/>
        </w:rPr>
        <w:t>其他</w:t>
      </w:r>
    </w:p>
    <w:p>
      <w:pPr>
        <w:autoSpaceDE w:val="0"/>
        <w:spacing w:line="360" w:lineRule="auto"/>
        <w:jc w:val="both"/>
        <w:rPr>
          <w:rFonts w:asciiTheme="minorEastAsia" w:hAnsiTheme="minorEastAsia" w:cstheme="minorEastAsia"/>
          <w:szCs w:val="21"/>
          <w:lang w:val="zh-TW"/>
        </w:rPr>
      </w:pPr>
      <w:r>
        <w:rPr>
          <w:rFonts w:hint="eastAsia" w:ascii="宋体" w:hAnsi="宋体"/>
          <w:b/>
          <w:bCs/>
          <w:sz w:val="24"/>
        </w:rPr>
        <w:t>9.</w:t>
      </w:r>
      <w:r>
        <w:rPr>
          <w:rFonts w:ascii="宋体" w:hAnsi="宋体"/>
          <w:b/>
          <w:bCs/>
          <w:sz w:val="24"/>
        </w:rPr>
        <w:t>1</w:t>
      </w:r>
      <w:r>
        <w:rPr>
          <w:rFonts w:hint="eastAsia" w:ascii="宋体" w:hAnsi="宋体"/>
          <w:sz w:val="24"/>
        </w:rPr>
        <w:t xml:space="preserve"> 项</w:t>
      </w:r>
      <w:r>
        <w:rPr>
          <w:rFonts w:hint="eastAsia" w:ascii="宋体" w:hAnsi="宋体" w:cs="宋体"/>
          <w:sz w:val="24"/>
        </w:rPr>
        <w:t>目控制价：本项目最高限价为人民币肆拾伍万元整（小写：¥4</w:t>
      </w:r>
      <w:r>
        <w:rPr>
          <w:rFonts w:ascii="宋体" w:hAnsi="宋体" w:cs="宋体"/>
          <w:sz w:val="24"/>
        </w:rPr>
        <w:t>5</w:t>
      </w:r>
      <w:r>
        <w:rPr>
          <w:rFonts w:hint="eastAsia" w:ascii="宋体" w:hAnsi="宋体" w:cs="宋体"/>
          <w:sz w:val="24"/>
        </w:rPr>
        <w:t>0000.00元）。</w:t>
      </w:r>
      <w:r>
        <w:rPr>
          <w:rFonts w:hint="eastAsia" w:ascii="宋体" w:hAnsi="宋体"/>
          <w:sz w:val="24"/>
        </w:rPr>
        <w:t>提供税率为</w:t>
      </w:r>
      <w:r>
        <w:rPr>
          <w:rFonts w:ascii="宋体" w:hAnsi="宋体"/>
          <w:sz w:val="24"/>
        </w:rPr>
        <w:t xml:space="preserve"> 6</w:t>
      </w:r>
      <w:r>
        <w:rPr>
          <w:rFonts w:hint="eastAsia" w:ascii="宋体" w:hAnsi="宋体"/>
          <w:sz w:val="24"/>
        </w:rPr>
        <w:t xml:space="preserve"> </w:t>
      </w:r>
      <w:r>
        <w:rPr>
          <w:rFonts w:ascii="宋体" w:hAnsi="宋体"/>
          <w:sz w:val="24"/>
        </w:rPr>
        <w:t>%</w:t>
      </w:r>
      <w:r>
        <w:rPr>
          <w:rFonts w:hint="eastAsia" w:ascii="宋体" w:hAnsi="宋体"/>
          <w:sz w:val="24"/>
        </w:rPr>
        <w:t>的增值税专用发票（软件部分），税率为</w:t>
      </w:r>
      <w:r>
        <w:rPr>
          <w:rFonts w:ascii="宋体" w:hAnsi="宋体"/>
          <w:sz w:val="24"/>
        </w:rPr>
        <w:t xml:space="preserve"> 13 %</w:t>
      </w:r>
      <w:r>
        <w:rPr>
          <w:rFonts w:hint="eastAsia" w:ascii="宋体" w:hAnsi="宋体"/>
          <w:sz w:val="24"/>
        </w:rPr>
        <w:t>的增值税专用发票（硬件部分）。</w:t>
      </w:r>
    </w:p>
    <w:p>
      <w:pPr>
        <w:pStyle w:val="9"/>
        <w:spacing w:line="360" w:lineRule="auto"/>
        <w:jc w:val="both"/>
        <w:rPr>
          <w:rFonts w:ascii="Arial" w:hAnsi="Arial"/>
        </w:rPr>
      </w:pPr>
      <w:r>
        <w:t>10</w:t>
      </w:r>
      <w:r>
        <w:rPr>
          <w:rFonts w:hint="eastAsia"/>
        </w:rPr>
        <w:t xml:space="preserve"> </w:t>
      </w:r>
      <w:r>
        <w:rPr>
          <w:rFonts w:hint="eastAsia" w:ascii="黑体" w:hAnsi="黑体"/>
        </w:rPr>
        <w:t>联系方式</w:t>
      </w:r>
    </w:p>
    <w:p>
      <w:pPr>
        <w:autoSpaceDE w:val="0"/>
        <w:spacing w:line="360" w:lineRule="auto"/>
        <w:ind w:firstLine="240" w:firstLineChars="100"/>
        <w:jc w:val="both"/>
        <w:rPr>
          <w:rFonts w:ascii="宋体" w:hAnsi="宋体"/>
          <w:sz w:val="24"/>
        </w:rPr>
      </w:pPr>
      <w:r>
        <w:rPr>
          <w:rFonts w:hint="eastAsia" w:ascii="宋体" w:hAnsi="宋体"/>
          <w:sz w:val="24"/>
        </w:rPr>
        <w:t>采 购 人: 岳阳城陵矶新港有限公司</w:t>
      </w:r>
      <w:r>
        <w:rPr>
          <w:rFonts w:hint="eastAsia" w:ascii="宋体" w:hAnsi="宋体"/>
          <w:sz w:val="24"/>
        </w:rPr>
        <w:tab/>
      </w:r>
      <w:r>
        <w:rPr>
          <w:rFonts w:hint="eastAsia" w:ascii="宋体" w:hAnsi="宋体"/>
          <w:sz w:val="24"/>
        </w:rPr>
        <w:t xml:space="preserve">         </w:t>
      </w:r>
    </w:p>
    <w:p>
      <w:pPr>
        <w:autoSpaceDE w:val="0"/>
        <w:spacing w:line="360" w:lineRule="auto"/>
        <w:ind w:firstLine="240" w:firstLineChars="100"/>
        <w:jc w:val="both"/>
        <w:rPr>
          <w:rFonts w:ascii="宋体" w:hAnsi="宋体"/>
          <w:sz w:val="24"/>
        </w:rPr>
      </w:pPr>
      <w:r>
        <w:rPr>
          <w:rFonts w:hint="eastAsia" w:ascii="宋体" w:hAnsi="宋体"/>
          <w:sz w:val="24"/>
        </w:rPr>
        <w:t>地    址: 湖南省岳阳城陵矶新港有限公司办公楼314室</w:t>
      </w:r>
    </w:p>
    <w:p>
      <w:pPr>
        <w:autoSpaceDE w:val="0"/>
        <w:spacing w:line="360" w:lineRule="auto"/>
        <w:ind w:firstLine="240" w:firstLineChars="100"/>
        <w:jc w:val="both"/>
        <w:rPr>
          <w:rFonts w:ascii="宋体" w:hAnsi="宋体"/>
          <w:sz w:val="24"/>
        </w:rPr>
      </w:pPr>
      <w:r>
        <w:rPr>
          <w:rFonts w:hint="eastAsia" w:ascii="宋体" w:hAnsi="宋体"/>
          <w:sz w:val="24"/>
        </w:rPr>
        <w:t xml:space="preserve">邮政编码: 414000                         </w:t>
      </w:r>
    </w:p>
    <w:p>
      <w:pPr>
        <w:autoSpaceDE w:val="0"/>
        <w:spacing w:line="360" w:lineRule="auto"/>
        <w:ind w:firstLine="240" w:firstLineChars="100"/>
        <w:jc w:val="both"/>
        <w:rPr>
          <w:rFonts w:ascii="宋体" w:hAnsi="宋体"/>
          <w:sz w:val="24"/>
        </w:rPr>
      </w:pPr>
      <w:r>
        <w:rPr>
          <w:rFonts w:hint="eastAsia" w:ascii="宋体" w:hAnsi="宋体"/>
          <w:sz w:val="24"/>
        </w:rPr>
        <w:t xml:space="preserve">联 系 人: 陈先生                         </w:t>
      </w:r>
    </w:p>
    <w:p>
      <w:pPr>
        <w:autoSpaceDE w:val="0"/>
        <w:spacing w:line="360" w:lineRule="auto"/>
        <w:ind w:firstLine="240" w:firstLineChars="100"/>
        <w:jc w:val="both"/>
        <w:rPr>
          <w:rFonts w:hint="eastAsia" w:ascii="宋体" w:hAnsi="宋体"/>
          <w:sz w:val="24"/>
        </w:rPr>
      </w:pPr>
      <w:r>
        <w:rPr>
          <w:rFonts w:hint="eastAsia" w:ascii="宋体" w:hAnsi="宋体"/>
          <w:sz w:val="24"/>
        </w:rPr>
        <w:t xml:space="preserve">电    话:  0730-8422009   </w:t>
      </w:r>
    </w:p>
    <w:p>
      <w:pPr>
        <w:autoSpaceDE w:val="0"/>
        <w:spacing w:line="360" w:lineRule="auto"/>
        <w:ind w:firstLine="240" w:firstLineChars="100"/>
        <w:jc w:val="both"/>
        <w:rPr>
          <w:rFonts w:ascii="宋体" w:hAnsi="宋体"/>
          <w:color w:val="FF0000"/>
          <w:sz w:val="24"/>
        </w:rPr>
      </w:pPr>
      <w:r>
        <w:rPr>
          <w:rFonts w:hint="eastAsia" w:ascii="宋体" w:hAnsi="宋体"/>
          <w:sz w:val="24"/>
          <w:lang w:val="en-US" w:eastAsia="zh-CN"/>
        </w:rPr>
        <w:t>邮    箱：109327396@qq.com</w:t>
      </w:r>
      <w:r>
        <w:rPr>
          <w:rFonts w:hint="eastAsia" w:ascii="宋体" w:hAnsi="宋体"/>
          <w:sz w:val="24"/>
        </w:rPr>
        <w:t xml:space="preserve">     </w:t>
      </w:r>
      <w:r>
        <w:rPr>
          <w:rFonts w:hint="eastAsia" w:ascii="宋体" w:hAnsi="宋体"/>
          <w:color w:val="FF0000"/>
          <w:sz w:val="24"/>
        </w:rPr>
        <w:t xml:space="preserve">                              </w:t>
      </w:r>
    </w:p>
    <w:p>
      <w:pPr>
        <w:autoSpaceDE w:val="0"/>
        <w:spacing w:line="360" w:lineRule="auto"/>
        <w:ind w:firstLine="240" w:firstLineChars="100"/>
        <w:jc w:val="both"/>
        <w:rPr>
          <w:rFonts w:ascii="宋体" w:hAnsi="宋体"/>
          <w:sz w:val="24"/>
        </w:rPr>
      </w:pPr>
      <w:r>
        <w:rPr>
          <w:rFonts w:hint="eastAsia" w:ascii="宋体" w:hAnsi="宋体"/>
          <w:sz w:val="24"/>
        </w:rPr>
        <w:t xml:space="preserve">  </w:t>
      </w:r>
    </w:p>
    <w:p>
      <w:pPr>
        <w:autoSpaceDE w:val="0"/>
        <w:spacing w:line="360" w:lineRule="auto"/>
        <w:jc w:val="both"/>
        <w:rPr>
          <w:rFonts w:ascii="宋体" w:hAnsi="宋体"/>
          <w:sz w:val="24"/>
        </w:rPr>
      </w:pPr>
      <w:r>
        <w:rPr>
          <w:rFonts w:hint="eastAsia" w:ascii="宋体" w:hAnsi="宋体"/>
          <w:sz w:val="24"/>
        </w:rPr>
        <w:t xml:space="preserve"> </w:t>
      </w:r>
    </w:p>
    <w:p>
      <w:pPr>
        <w:autoSpaceDE w:val="0"/>
        <w:spacing w:line="360" w:lineRule="auto"/>
        <w:jc w:val="both"/>
        <w:rPr>
          <w:rFonts w:ascii="黑体" w:hAnsi="黑体" w:eastAsia="黑体"/>
          <w:sz w:val="32"/>
          <w:szCs w:val="32"/>
        </w:rPr>
      </w:pPr>
      <w:r>
        <w:rPr>
          <w:rFonts w:hint="eastAsia" w:ascii="宋体" w:hAnsi="宋体"/>
          <w:sz w:val="24"/>
        </w:rPr>
        <w:t xml:space="preserve"> </w:t>
      </w:r>
      <w:bookmarkStart w:id="5" w:name="_Toc517787494"/>
      <w:bookmarkStart w:id="6" w:name="_Toc234832861"/>
    </w:p>
    <w:p>
      <w:pPr>
        <w:spacing w:line="360" w:lineRule="auto"/>
        <w:jc w:val="center"/>
        <w:rPr>
          <w:rFonts w:ascii="黑体" w:hAnsi="黑体" w:eastAsia="黑体"/>
          <w:sz w:val="32"/>
          <w:szCs w:val="32"/>
        </w:rPr>
      </w:pPr>
    </w:p>
    <w:p>
      <w:pPr>
        <w:pStyle w:val="2"/>
        <w:spacing w:line="360" w:lineRule="auto"/>
        <w:rPr>
          <w:rFonts w:ascii="黑体" w:hAnsi="黑体" w:eastAsia="黑体"/>
          <w:sz w:val="32"/>
          <w:szCs w:val="32"/>
        </w:rPr>
      </w:pPr>
    </w:p>
    <w:p>
      <w:pPr>
        <w:pStyle w:val="2"/>
        <w:spacing w:line="360" w:lineRule="auto"/>
        <w:rPr>
          <w:rFonts w:ascii="黑体" w:hAnsi="黑体" w:eastAsia="黑体"/>
          <w:sz w:val="32"/>
          <w:szCs w:val="32"/>
        </w:rPr>
      </w:pPr>
    </w:p>
    <w:p>
      <w:pPr>
        <w:pStyle w:val="2"/>
        <w:spacing w:line="360" w:lineRule="auto"/>
        <w:rPr>
          <w:rFonts w:ascii="黑体" w:hAnsi="黑体" w:eastAsia="黑体"/>
          <w:sz w:val="32"/>
          <w:szCs w:val="32"/>
        </w:rPr>
      </w:pPr>
    </w:p>
    <w:p>
      <w:pPr>
        <w:pStyle w:val="2"/>
        <w:spacing w:line="360" w:lineRule="auto"/>
        <w:rPr>
          <w:rFonts w:ascii="黑体" w:hAnsi="黑体" w:eastAsia="黑体"/>
          <w:sz w:val="32"/>
          <w:szCs w:val="32"/>
        </w:rPr>
      </w:pPr>
    </w:p>
    <w:p>
      <w:pPr>
        <w:pStyle w:val="50"/>
        <w:spacing w:line="360" w:lineRule="auto"/>
        <w:rPr>
          <w:sz w:val="32"/>
          <w:szCs w:val="32"/>
        </w:rPr>
      </w:pPr>
    </w:p>
    <w:p>
      <w:pPr>
        <w:pStyle w:val="50"/>
        <w:spacing w:line="360" w:lineRule="auto"/>
        <w:rPr>
          <w:sz w:val="32"/>
          <w:szCs w:val="32"/>
        </w:rPr>
      </w:pPr>
    </w:p>
    <w:p>
      <w:pPr>
        <w:spacing w:line="360" w:lineRule="auto"/>
        <w:rPr>
          <w:rFonts w:ascii="黑体" w:hAnsi="黑体" w:eastAsia="黑体"/>
          <w:sz w:val="32"/>
          <w:szCs w:val="32"/>
        </w:rPr>
      </w:pPr>
      <w:r>
        <w:rPr>
          <w:rFonts w:hint="eastAsia" w:ascii="黑体" w:hAnsi="黑体" w:eastAsia="黑体"/>
          <w:sz w:val="32"/>
          <w:szCs w:val="32"/>
        </w:rPr>
        <w:br w:type="page"/>
      </w:r>
    </w:p>
    <w:p>
      <w:pPr>
        <w:pStyle w:val="77"/>
        <w:numPr>
          <w:ilvl w:val="255"/>
          <w:numId w:val="0"/>
        </w:numPr>
        <w:spacing w:line="360" w:lineRule="auto"/>
        <w:jc w:val="center"/>
        <w:outlineLvl w:val="0"/>
        <w:rPr>
          <w:rFonts w:ascii="黑体" w:hAnsi="黑体" w:eastAsia="黑体" w:cs="仿宋"/>
          <w:b/>
          <w:color w:val="000000"/>
          <w:sz w:val="44"/>
          <w:szCs w:val="44"/>
        </w:rPr>
      </w:pPr>
      <w:bookmarkStart w:id="7" w:name="_Toc4462"/>
      <w:r>
        <w:rPr>
          <w:rFonts w:hint="eastAsia" w:ascii="黑体" w:hAnsi="黑体" w:eastAsia="黑体" w:cs="仿宋"/>
          <w:b/>
          <w:color w:val="000000"/>
          <w:sz w:val="44"/>
          <w:szCs w:val="44"/>
        </w:rPr>
        <w:t>第二章  供应商须知</w:t>
      </w:r>
      <w:bookmarkEnd w:id="5"/>
      <w:bookmarkEnd w:id="6"/>
      <w:bookmarkEnd w:id="7"/>
    </w:p>
    <w:p>
      <w:pPr>
        <w:pStyle w:val="9"/>
        <w:spacing w:line="360" w:lineRule="auto"/>
        <w:jc w:val="center"/>
        <w:rPr>
          <w:rFonts w:ascii="黑体" w:hAnsi="黑体"/>
        </w:rPr>
      </w:pPr>
      <w:bookmarkStart w:id="8" w:name="_Toc2308"/>
      <w:bookmarkStart w:id="9" w:name="_Toc234832862"/>
      <w:bookmarkStart w:id="10" w:name="_Toc517787495"/>
      <w:r>
        <w:rPr>
          <w:rFonts w:hint="eastAsia" w:ascii="黑体" w:hAnsi="黑体"/>
        </w:rPr>
        <w:t>供应商须知前附表</w:t>
      </w:r>
      <w:bookmarkEnd w:id="8"/>
      <w:bookmarkEnd w:id="9"/>
      <w:bookmarkEnd w:id="10"/>
    </w:p>
    <w:tbl>
      <w:tblPr>
        <w:tblStyle w:val="39"/>
        <w:tblW w:w="9018" w:type="dxa"/>
        <w:tblInd w:w="-278" w:type="dxa"/>
        <w:tblLayout w:type="fixed"/>
        <w:tblCellMar>
          <w:top w:w="0" w:type="dxa"/>
          <w:left w:w="108" w:type="dxa"/>
          <w:bottom w:w="0" w:type="dxa"/>
          <w:right w:w="108" w:type="dxa"/>
        </w:tblCellMar>
      </w:tblPr>
      <w:tblGrid>
        <w:gridCol w:w="1297"/>
        <w:gridCol w:w="2972"/>
        <w:gridCol w:w="4749"/>
      </w:tblGrid>
      <w:tr>
        <w:tblPrEx>
          <w:tblCellMar>
            <w:top w:w="0" w:type="dxa"/>
            <w:left w:w="108" w:type="dxa"/>
            <w:bottom w:w="0" w:type="dxa"/>
            <w:right w:w="108" w:type="dxa"/>
          </w:tblCellMar>
        </w:tblPrEx>
        <w:trPr>
          <w:trHeight w:val="387" w:hRule="atLeast"/>
          <w:tblHeader/>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条款号</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条  款  名  称</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编  列  内  容</w:t>
            </w:r>
          </w:p>
        </w:tc>
      </w:tr>
      <w:tr>
        <w:tblPrEx>
          <w:tblCellMar>
            <w:top w:w="0" w:type="dxa"/>
            <w:left w:w="108" w:type="dxa"/>
            <w:bottom w:w="0" w:type="dxa"/>
            <w:right w:w="108" w:type="dxa"/>
          </w:tblCellMar>
        </w:tblPrEx>
        <w:trPr>
          <w:trHeight w:val="52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sym w:font="Wingdings 2" w:char="0052"/>
            </w:r>
            <w:r>
              <w:rPr>
                <w:rFonts w:hint="eastAsia" w:ascii="宋体" w:hAnsi="宋体" w:cs="宋体"/>
                <w:color w:val="000000" w:themeColor="text1"/>
                <w:szCs w:val="21"/>
                <w14:textFill>
                  <w14:solidFill>
                    <w14:schemeClr w14:val="tx1"/>
                  </w14:solidFill>
                </w14:textFill>
              </w:rPr>
              <w:t>询价</w:t>
            </w:r>
          </w:p>
        </w:tc>
      </w:tr>
      <w:tr>
        <w:tblPrEx>
          <w:tblCellMar>
            <w:top w:w="0" w:type="dxa"/>
            <w:left w:w="108" w:type="dxa"/>
            <w:bottom w:w="0" w:type="dxa"/>
            <w:right w:w="108" w:type="dxa"/>
          </w:tblCellMar>
        </w:tblPrEx>
        <w:trPr>
          <w:trHeight w:val="52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评审办法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sym w:font="Wingdings 2" w:char="0052"/>
            </w:r>
            <w:r>
              <w:rPr>
                <w:rFonts w:hint="eastAsia" w:ascii="宋体" w:hAnsi="宋体" w:cs="宋体"/>
                <w:color w:val="000000" w:themeColor="text1"/>
                <w:szCs w:val="21"/>
                <w14:textFill>
                  <w14:solidFill>
                    <w14:schemeClr w14:val="tx1"/>
                  </w14:solidFill>
                </w14:textFill>
              </w:rPr>
              <w:t>综合评分法</w:t>
            </w:r>
          </w:p>
        </w:tc>
      </w:tr>
      <w:tr>
        <w:tblPrEx>
          <w:tblCellMar>
            <w:top w:w="0" w:type="dxa"/>
            <w:left w:w="108" w:type="dxa"/>
            <w:bottom w:w="0" w:type="dxa"/>
            <w:right w:w="108" w:type="dxa"/>
          </w:tblCellMar>
        </w:tblPrEx>
        <w:trPr>
          <w:trHeight w:val="52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踏勘现场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sym w:font="Wingdings 2" w:char="0052"/>
            </w:r>
            <w:r>
              <w:rPr>
                <w:rFonts w:hint="eastAsia" w:ascii="宋体" w:hAnsi="宋体" w:cs="宋体"/>
                <w:color w:val="000000" w:themeColor="text1"/>
                <w:szCs w:val="21"/>
                <w:highlight w:val="none"/>
                <w14:textFill>
                  <w14:solidFill>
                    <w14:schemeClr w14:val="tx1"/>
                  </w14:solidFill>
                </w14:textFill>
              </w:rPr>
              <w:t xml:space="preserve">组织     </w:t>
            </w:r>
          </w:p>
          <w:p>
            <w:pPr>
              <w:spacing w:line="360" w:lineRule="auto"/>
              <w:ind w:firstLine="210" w:firstLineChars="100"/>
              <w:jc w:val="both"/>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2023年5</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26</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lang w:val="en-US" w:eastAsia="zh-CN"/>
                <w14:textFill>
                  <w14:solidFill>
                    <w14:schemeClr w14:val="tx1"/>
                  </w14:solidFill>
                </w14:textFill>
              </w:rPr>
              <w:t>2023年5</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28</w:t>
            </w:r>
            <w:r>
              <w:rPr>
                <w:rFonts w:hint="eastAsia" w:ascii="宋体" w:hAnsi="宋体" w:cs="宋体"/>
                <w:color w:val="000000" w:themeColor="text1"/>
                <w:szCs w:val="21"/>
                <w:highlight w:val="none"/>
                <w14:textFill>
                  <w14:solidFill>
                    <w14:schemeClr w14:val="tx1"/>
                  </w14:solidFill>
                </w14:textFill>
              </w:rPr>
              <w:t>日，每天8:00-17:30</w:t>
            </w:r>
          </w:p>
          <w:p>
            <w:pPr>
              <w:spacing w:line="360" w:lineRule="auto"/>
              <w:jc w:val="both"/>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联 系 人: 陈先生                         </w:t>
            </w:r>
          </w:p>
          <w:p>
            <w:pPr>
              <w:spacing w:line="360" w:lineRule="auto"/>
              <w:jc w:val="both"/>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电    话:  0730-8422009 </w:t>
            </w:r>
            <w:r>
              <w:rPr>
                <w:rFonts w:hint="eastAsia" w:ascii="宋体" w:hAnsi="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tc>
      </w:tr>
      <w:tr>
        <w:tblPrEx>
          <w:tblCellMar>
            <w:top w:w="0" w:type="dxa"/>
            <w:left w:w="108" w:type="dxa"/>
            <w:bottom w:w="0" w:type="dxa"/>
            <w:right w:w="108" w:type="dxa"/>
          </w:tblCellMar>
        </w:tblPrEx>
        <w:trPr>
          <w:trHeight w:val="52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3</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采购预备会</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sym w:font="Wingdings 2" w:char="0052"/>
            </w:r>
            <w:r>
              <w:rPr>
                <w:rFonts w:hint="eastAsia" w:ascii="宋体" w:hAnsi="宋体" w:cs="宋体"/>
                <w:color w:val="000000" w:themeColor="text1"/>
                <w:szCs w:val="21"/>
                <w14:textFill>
                  <w14:solidFill>
                    <w14:schemeClr w14:val="tx1"/>
                  </w14:solidFill>
                </w14:textFill>
              </w:rPr>
              <w:t xml:space="preserve">不召开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4</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分包</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不得分包的内容：不允许分包</w:t>
            </w:r>
          </w:p>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对分包供应商的要求：不允许分包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5</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对非关键条款的偏差</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允许偏差的范围：仅允许细微偏差。</w:t>
            </w:r>
          </w:p>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允许偏差的项数：</w:t>
            </w:r>
            <w:r>
              <w:rPr>
                <w:rFonts w:hint="eastAsia" w:ascii="宋体" w:hAnsi="宋体" w:cs="宋体"/>
                <w:color w:val="000000" w:themeColor="text1"/>
                <w:szCs w:val="21"/>
                <w:u w:val="single"/>
                <w14:textFill>
                  <w14:solidFill>
                    <w14:schemeClr w14:val="tx1"/>
                  </w14:solidFill>
                </w14:textFill>
              </w:rPr>
              <w:t>2项</w:t>
            </w:r>
            <w:r>
              <w:rPr>
                <w:rFonts w:hint="eastAsia" w:ascii="宋体" w:hAnsi="宋体" w:cs="宋体"/>
                <w:color w:val="000000" w:themeColor="text1"/>
                <w:szCs w:val="21"/>
                <w14:textFill>
                  <w14:solidFill>
                    <w14:schemeClr w14:val="tx1"/>
                  </w14:solidFill>
                </w14:textFill>
              </w:rPr>
              <w:t xml:space="preserve">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构成采购文件的其他资料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资料名称：采购人对采购文件的澄清、通知等文件（如有）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构成响应文件的其他资料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资料名称：无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w:t>
            </w:r>
            <w:r>
              <w:rPr>
                <w:rFonts w:ascii="宋体" w:hAnsi="宋体" w:cs="宋体"/>
                <w:color w:val="000000" w:themeColor="text1"/>
                <w:szCs w:val="21"/>
                <w14:textFill>
                  <w14:solidFill>
                    <w14:schemeClr w14:val="tx1"/>
                  </w14:solidFill>
                </w14:textFill>
              </w:rPr>
              <w:t>.1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最高限价或其计算方法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sym w:font="Wingdings 2" w:char="0052"/>
            </w:r>
            <w:r>
              <w:rPr>
                <w:rFonts w:hint="eastAsia" w:ascii="宋体" w:hAnsi="宋体" w:cs="宋体"/>
                <w:color w:val="000000" w:themeColor="text1"/>
                <w:szCs w:val="21"/>
                <w14:textFill>
                  <w14:solidFill>
                    <w14:schemeClr w14:val="tx1"/>
                  </w14:solidFill>
                </w14:textFill>
              </w:rPr>
              <w:t>有，最高限价：</w:t>
            </w:r>
            <w:r>
              <w:rPr>
                <w:rFonts w:ascii="宋体" w:hAnsi="宋体" w:cs="宋体"/>
                <w:color w:val="000000" w:themeColor="text1"/>
                <w:szCs w:val="21"/>
                <w14:textFill>
                  <w14:solidFill>
                    <w14:schemeClr w14:val="tx1"/>
                  </w14:solidFill>
                </w14:textFill>
              </w:rPr>
              <w:t>450000.00</w:t>
            </w:r>
            <w:r>
              <w:rPr>
                <w:rFonts w:hint="eastAsia" w:ascii="宋体" w:hAnsi="宋体" w:cs="宋体"/>
                <w:color w:val="000000" w:themeColor="text1"/>
                <w:szCs w:val="21"/>
                <w14:textFill>
                  <w14:solidFill>
                    <w14:schemeClr w14:val="tx1"/>
                  </w14:solidFill>
                </w14:textFill>
              </w:rPr>
              <w:t xml:space="preserve">元      </w:t>
            </w:r>
          </w:p>
        </w:tc>
      </w:tr>
      <w:tr>
        <w:tblPrEx>
          <w:tblCellMar>
            <w:top w:w="0" w:type="dxa"/>
            <w:left w:w="108" w:type="dxa"/>
            <w:bottom w:w="0" w:type="dxa"/>
            <w:right w:w="108" w:type="dxa"/>
          </w:tblCellMar>
        </w:tblPrEx>
        <w:trPr>
          <w:trHeight w:val="1125"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3.2.</w:t>
            </w:r>
            <w:r>
              <w:rPr>
                <w:rFonts w:ascii="宋体" w:hAnsi="宋体" w:cs="宋体"/>
                <w:szCs w:val="21"/>
              </w:rPr>
              <w:t>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报价的其他要求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jc w:val="both"/>
              <w:rPr>
                <w:rFonts w:ascii="宋体" w:hAnsi="宋体" w:cs="宋体"/>
                <w:szCs w:val="21"/>
              </w:rPr>
            </w:pPr>
            <w:r>
              <w:rPr>
                <w:rFonts w:hint="eastAsia" w:ascii="宋体" w:hAnsi="宋体" w:cs="宋体"/>
                <w:szCs w:val="21"/>
              </w:rPr>
              <w:t xml:space="preserve">此报价应包含但不限于产品费、运费、税金、配件、安装调试、培训等应由供应商承担的一切费用。                                                           </w:t>
            </w:r>
          </w:p>
        </w:tc>
      </w:tr>
      <w:tr>
        <w:tblPrEx>
          <w:tblCellMar>
            <w:top w:w="0" w:type="dxa"/>
            <w:left w:w="108" w:type="dxa"/>
            <w:bottom w:w="0" w:type="dxa"/>
            <w:right w:w="108" w:type="dxa"/>
          </w:tblCellMar>
        </w:tblPrEx>
        <w:trPr>
          <w:trHeight w:val="468"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3.3.1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响应文件有效期</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 xml:space="preserve">递交响应文件截止之日起90日                                        </w:t>
            </w:r>
          </w:p>
        </w:tc>
      </w:tr>
      <w:tr>
        <w:tblPrEx>
          <w:tblCellMar>
            <w:top w:w="0" w:type="dxa"/>
            <w:left w:w="108" w:type="dxa"/>
            <w:bottom w:w="0" w:type="dxa"/>
            <w:right w:w="108" w:type="dxa"/>
          </w:tblCellMar>
        </w:tblPrEx>
        <w:trPr>
          <w:trHeight w:val="468"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3.4.1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响应保证金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 xml:space="preserve">不要求递交                           </w:t>
            </w:r>
          </w:p>
        </w:tc>
      </w:tr>
      <w:tr>
        <w:tblPrEx>
          <w:tblCellMar>
            <w:top w:w="0" w:type="dxa"/>
            <w:left w:w="108" w:type="dxa"/>
            <w:bottom w:w="0" w:type="dxa"/>
            <w:right w:w="108" w:type="dxa"/>
          </w:tblCellMar>
        </w:tblPrEx>
        <w:trPr>
          <w:trHeight w:val="468"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3.4.2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 xml:space="preserve">  无                                                              </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3.4.3</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不退还响应保证金的其他情形</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 xml:space="preserve">  无                                                             </w:t>
            </w:r>
          </w:p>
        </w:tc>
      </w:tr>
      <w:tr>
        <w:tblPrEx>
          <w:tblCellMar>
            <w:top w:w="0" w:type="dxa"/>
            <w:left w:w="108" w:type="dxa"/>
            <w:bottom w:w="0" w:type="dxa"/>
            <w:right w:w="108" w:type="dxa"/>
          </w:tblCellMar>
        </w:tblPrEx>
        <w:trPr>
          <w:trHeight w:val="1112"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3.5.</w:t>
            </w:r>
            <w:r>
              <w:rPr>
                <w:rFonts w:ascii="宋体" w:hAnsi="宋体" w:cs="宋体"/>
                <w:szCs w:val="21"/>
              </w:rPr>
              <w:t>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Style w:val="42"/>
                <w:rFonts w:ascii="宋体" w:hAnsi="宋体" w:cs="宋体"/>
                <w:b w:val="0"/>
                <w:color w:val="000000"/>
                <w:szCs w:val="21"/>
              </w:rPr>
            </w:pPr>
            <w:r>
              <w:rPr>
                <w:rStyle w:val="42"/>
                <w:rFonts w:hint="eastAsia" w:ascii="宋体" w:hAnsi="宋体" w:cs="宋体"/>
                <w:b w:val="0"/>
                <w:color w:val="000000"/>
                <w:szCs w:val="21"/>
              </w:rPr>
              <w:t>依法设立的证明材料</w:t>
            </w:r>
          </w:p>
        </w:tc>
        <w:tc>
          <w:tcPr>
            <w:tcW w:w="4749" w:type="dxa"/>
            <w:tcBorders>
              <w:top w:val="single" w:color="auto" w:sz="4" w:space="0"/>
              <w:left w:val="single" w:color="auto" w:sz="4" w:space="0"/>
              <w:bottom w:val="single" w:color="auto" w:sz="4" w:space="0"/>
              <w:right w:val="single" w:color="auto" w:sz="4" w:space="0"/>
            </w:tcBorders>
          </w:tcPr>
          <w:p>
            <w:pPr>
              <w:spacing w:line="360" w:lineRule="auto"/>
              <w:jc w:val="both"/>
              <w:rPr>
                <w:rFonts w:ascii="宋体" w:hAnsi="宋体" w:cs="宋体"/>
                <w:bCs/>
                <w:szCs w:val="21"/>
              </w:rPr>
            </w:pPr>
            <w:r>
              <w:rPr>
                <w:rFonts w:hint="eastAsia" w:ascii="宋体" w:hAnsi="宋体" w:cs="宋体"/>
                <w:bCs/>
                <w:szCs w:val="21"/>
              </w:rPr>
              <w:sym w:font="Wingdings 2" w:char="0052"/>
            </w:r>
            <w:r>
              <w:rPr>
                <w:rFonts w:hint="eastAsia" w:ascii="宋体" w:hAnsi="宋体" w:cs="宋体"/>
                <w:bCs/>
                <w:szCs w:val="21"/>
              </w:rPr>
              <w:t>适用。</w:t>
            </w:r>
          </w:p>
          <w:p>
            <w:pPr>
              <w:spacing w:line="360" w:lineRule="auto"/>
              <w:ind w:firstLine="210" w:firstLineChars="100"/>
              <w:jc w:val="both"/>
              <w:rPr>
                <w:rFonts w:ascii="宋体" w:hAnsi="宋体" w:cs="宋体"/>
                <w:bCs/>
                <w:color w:val="000000"/>
                <w:szCs w:val="21"/>
              </w:rPr>
            </w:pPr>
            <w:r>
              <w:rPr>
                <w:rFonts w:hint="eastAsia" w:ascii="宋体" w:hAnsi="宋体" w:cs="宋体"/>
                <w:bCs/>
                <w:color w:val="000000"/>
                <w:szCs w:val="21"/>
              </w:rPr>
              <w:t>供应商应提供市场监管部门或其他行政机关颁发的可以合法开展业务并适用于本项目的执照或证书。</w:t>
            </w:r>
          </w:p>
        </w:tc>
      </w:tr>
      <w:tr>
        <w:tblPrEx>
          <w:tblCellMar>
            <w:top w:w="0" w:type="dxa"/>
            <w:left w:w="108" w:type="dxa"/>
            <w:bottom w:w="0" w:type="dxa"/>
            <w:right w:w="108" w:type="dxa"/>
          </w:tblCellMar>
        </w:tblPrEx>
        <w:trPr>
          <w:trHeight w:val="481"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t>3.5.</w:t>
            </w:r>
            <w:r>
              <w:rPr>
                <w:rFonts w:ascii="宋体" w:hAnsi="宋体" w:cs="宋体"/>
                <w:szCs w:val="21"/>
              </w:rPr>
              <w:t>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Style w:val="42"/>
                <w:rFonts w:hint="eastAsia" w:ascii="宋体" w:hAnsi="宋体" w:cs="宋体"/>
                <w:b w:val="0"/>
                <w:color w:val="000000"/>
                <w:szCs w:val="21"/>
              </w:rPr>
              <w:t>资质要求证明材料</w:t>
            </w:r>
          </w:p>
        </w:tc>
        <w:tc>
          <w:tcPr>
            <w:tcW w:w="4749" w:type="dxa"/>
            <w:tcBorders>
              <w:top w:val="single" w:color="auto" w:sz="4" w:space="0"/>
              <w:left w:val="single" w:color="auto" w:sz="4" w:space="0"/>
              <w:bottom w:val="single" w:color="auto" w:sz="4" w:space="0"/>
              <w:right w:val="single" w:color="auto" w:sz="4" w:space="0"/>
            </w:tcBorders>
          </w:tcPr>
          <w:p>
            <w:pPr>
              <w:spacing w:line="360" w:lineRule="auto"/>
              <w:jc w:val="both"/>
              <w:rPr>
                <w:rFonts w:ascii="宋体" w:hAnsi="宋体" w:cs="宋体"/>
                <w:color w:val="000000"/>
                <w:szCs w:val="21"/>
              </w:rPr>
            </w:pPr>
            <w:r>
              <w:rPr>
                <w:rFonts w:hint="eastAsia" w:ascii="宋体" w:hAnsi="宋体" w:cs="宋体"/>
                <w:color w:val="000000"/>
                <w:szCs w:val="21"/>
              </w:rPr>
              <w:sym w:font="Wingdings 2" w:char="0052"/>
            </w:r>
            <w:r>
              <w:rPr>
                <w:rFonts w:hint="eastAsia" w:ascii="宋体" w:hAnsi="宋体" w:cs="宋体"/>
                <w:color w:val="000000"/>
                <w:szCs w:val="21"/>
              </w:rPr>
              <w:t>适用。</w:t>
            </w:r>
          </w:p>
          <w:p>
            <w:pPr>
              <w:spacing w:line="360" w:lineRule="auto"/>
              <w:ind w:firstLine="210" w:firstLineChars="100"/>
              <w:jc w:val="both"/>
              <w:rPr>
                <w:rFonts w:ascii="宋体" w:hAnsi="宋体" w:cs="宋体"/>
                <w:color w:val="000000"/>
                <w:szCs w:val="21"/>
              </w:rPr>
            </w:pPr>
            <w:r>
              <w:rPr>
                <w:rFonts w:hint="eastAsia" w:ascii="宋体" w:hAnsi="宋体" w:cs="宋体"/>
                <w:szCs w:val="21"/>
              </w:rPr>
              <w:t>供应商为代理商时需提供：</w:t>
            </w:r>
            <w:r>
              <w:rPr>
                <w:rFonts w:hint="eastAsia" w:ascii="宋体" w:hAnsi="宋体" w:cs="宋体"/>
                <w:szCs w:val="21"/>
                <w:u w:val="single"/>
              </w:rPr>
              <w:t>所供产品的原厂商授权证明文件</w:t>
            </w:r>
          </w:p>
        </w:tc>
      </w:tr>
      <w:tr>
        <w:tblPrEx>
          <w:tblCellMar>
            <w:top w:w="0" w:type="dxa"/>
            <w:left w:w="108" w:type="dxa"/>
            <w:bottom w:w="0" w:type="dxa"/>
            <w:right w:w="108" w:type="dxa"/>
          </w:tblCellMar>
        </w:tblPrEx>
        <w:trPr>
          <w:trHeight w:val="645"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3.5.</w:t>
            </w:r>
            <w:r>
              <w:rPr>
                <w:rFonts w:ascii="宋体" w:hAnsi="宋体" w:cs="宋体"/>
                <w:color w:val="000000"/>
                <w:szCs w:val="21"/>
              </w:rPr>
              <w:t>3</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信誉要求证明材料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不适用</w:t>
            </w:r>
          </w:p>
        </w:tc>
      </w:tr>
      <w:tr>
        <w:tblPrEx>
          <w:tblCellMar>
            <w:top w:w="0" w:type="dxa"/>
            <w:left w:w="108" w:type="dxa"/>
            <w:bottom w:w="0" w:type="dxa"/>
            <w:right w:w="108" w:type="dxa"/>
          </w:tblCellMar>
        </w:tblPrEx>
        <w:trPr>
          <w:trHeight w:val="88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3.5.</w:t>
            </w:r>
            <w:r>
              <w:rPr>
                <w:rFonts w:ascii="宋体" w:hAnsi="宋体" w:cs="宋体"/>
                <w:color w:val="000000"/>
                <w:szCs w:val="21"/>
              </w:rPr>
              <w:t>4</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承担本项目的主要人员要求证明材料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szCs w:val="21"/>
              </w:rPr>
              <w:sym w:font="Wingdings 2" w:char="0052"/>
            </w:r>
            <w:r>
              <w:rPr>
                <w:rFonts w:hint="eastAsia" w:ascii="宋体" w:hAnsi="宋体" w:cs="宋体"/>
                <w:szCs w:val="21"/>
              </w:rPr>
              <w:t>适用</w:t>
            </w:r>
            <w:r>
              <w:rPr>
                <w:rFonts w:hint="eastAsia" w:ascii="宋体" w:hAnsi="宋体" w:cs="宋体"/>
                <w:color w:val="000000"/>
                <w:szCs w:val="21"/>
              </w:rPr>
              <w:t xml:space="preserve">   </w:t>
            </w:r>
          </w:p>
          <w:p>
            <w:pPr>
              <w:spacing w:line="360" w:lineRule="auto"/>
              <w:ind w:firstLine="210" w:firstLineChars="100"/>
              <w:jc w:val="both"/>
              <w:rPr>
                <w:rFonts w:ascii="宋体" w:hAnsi="宋体" w:cs="宋体"/>
                <w:szCs w:val="21"/>
              </w:rPr>
            </w:pPr>
            <w:r>
              <w:rPr>
                <w:rFonts w:hint="eastAsia" w:ascii="宋体" w:hAnsi="宋体" w:cs="宋体"/>
                <w:szCs w:val="21"/>
              </w:rPr>
              <w:t>供应商应提供拟委任的主要人员汇总表和主要人员简历表（格式见第六章“响应文件格式”五、资格审查资料（四）拟委任的主要人员汇总表和（五）主要人员简历表）。</w:t>
            </w:r>
          </w:p>
          <w:p>
            <w:pPr>
              <w:spacing w:line="360" w:lineRule="auto"/>
              <w:ind w:firstLine="210" w:firstLineChars="100"/>
              <w:jc w:val="both"/>
              <w:rPr>
                <w:rFonts w:hint="default" w:ascii="宋体" w:hAnsi="宋体" w:eastAsia="宋体" w:cs="宋体"/>
                <w:color w:val="FF0000"/>
                <w:szCs w:val="21"/>
                <w:lang w:val="en-US" w:eastAsia="zh-CN"/>
              </w:rPr>
            </w:pPr>
            <w:r>
              <w:rPr>
                <w:rFonts w:hint="eastAsia" w:ascii="宋体" w:hAnsi="宋体" w:cs="宋体"/>
                <w:szCs w:val="21"/>
              </w:rPr>
              <w:t>注：提供项目</w:t>
            </w:r>
            <w:r>
              <w:rPr>
                <w:rFonts w:hint="eastAsia" w:ascii="宋体" w:hAnsi="宋体" w:cs="宋体"/>
                <w:szCs w:val="21"/>
                <w:lang w:val="en-US" w:eastAsia="zh-CN"/>
              </w:rPr>
              <w:t>经理</w:t>
            </w:r>
            <w:r>
              <w:rPr>
                <w:rFonts w:hint="eastAsia" w:ascii="宋体" w:hAnsi="宋体" w:cs="宋体"/>
                <w:szCs w:val="21"/>
              </w:rPr>
              <w:t>和技术人员的相关信息。</w:t>
            </w:r>
            <w:r>
              <w:rPr>
                <w:rFonts w:hint="eastAsia" w:ascii="宋体" w:hAnsi="宋体" w:cs="宋体"/>
                <w:szCs w:val="21"/>
                <w:lang w:val="en-US" w:eastAsia="zh-CN"/>
              </w:rPr>
              <w:t>（具备有效期内的PMP证书或ITIL4证书）</w:t>
            </w:r>
          </w:p>
        </w:tc>
      </w:tr>
      <w:tr>
        <w:tblPrEx>
          <w:tblCellMar>
            <w:top w:w="0" w:type="dxa"/>
            <w:left w:w="108" w:type="dxa"/>
            <w:bottom w:w="0" w:type="dxa"/>
            <w:right w:w="108" w:type="dxa"/>
          </w:tblCellMar>
        </w:tblPrEx>
        <w:trPr>
          <w:trHeight w:val="490"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3.5.</w:t>
            </w:r>
            <w:r>
              <w:rPr>
                <w:rFonts w:ascii="宋体" w:hAnsi="宋体" w:cs="宋体"/>
                <w:color w:val="000000"/>
                <w:szCs w:val="21"/>
              </w:rPr>
              <w:t>5</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其他要求的证明材料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ascii="宋体" w:hAnsi="宋体" w:eastAsia="宋体" w:cs="宋体"/>
                <w:color w:val="000000"/>
                <w:szCs w:val="21"/>
                <w:lang w:val="en-US" w:eastAsia="zh-CN"/>
              </w:rPr>
            </w:pPr>
            <w:r>
              <w:rPr>
                <w:rFonts w:hint="eastAsia" w:ascii="宋体" w:hAnsi="宋体" w:cs="宋体"/>
                <w:szCs w:val="21"/>
              </w:rPr>
              <w:sym w:font="Wingdings 2" w:char="0052"/>
            </w:r>
            <w:r>
              <w:rPr>
                <w:rFonts w:hint="eastAsia" w:ascii="宋体" w:hAnsi="宋体" w:cs="宋体"/>
                <w:szCs w:val="21"/>
              </w:rPr>
              <w:t>适用</w:t>
            </w:r>
            <w:r>
              <w:rPr>
                <w:rFonts w:hint="eastAsia" w:ascii="宋体" w:hAnsi="宋体" w:cs="宋体"/>
                <w:szCs w:val="21"/>
                <w:lang w:eastAsia="zh-CN"/>
              </w:rPr>
              <w:t>，</w:t>
            </w:r>
            <w:r>
              <w:rPr>
                <w:rFonts w:hint="eastAsia" w:ascii="宋体" w:hAnsi="宋体" w:cs="宋体"/>
                <w:szCs w:val="21"/>
                <w:lang w:val="en-US" w:eastAsia="zh-CN"/>
              </w:rPr>
              <w:t>现场踏勘证明文件</w:t>
            </w:r>
          </w:p>
        </w:tc>
      </w:tr>
      <w:tr>
        <w:tblPrEx>
          <w:tblCellMar>
            <w:top w:w="0" w:type="dxa"/>
            <w:left w:w="108" w:type="dxa"/>
            <w:bottom w:w="0" w:type="dxa"/>
            <w:right w:w="108" w:type="dxa"/>
          </w:tblCellMar>
        </w:tblPrEx>
        <w:trPr>
          <w:trHeight w:val="2622"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3.5.</w:t>
            </w:r>
            <w:r>
              <w:rPr>
                <w:rFonts w:ascii="宋体" w:hAnsi="宋体" w:cs="宋体"/>
                <w:color w:val="000000"/>
                <w:szCs w:val="21"/>
              </w:rPr>
              <w:t>6</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供应商不存在第一章3.1款情形的证明材料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sym w:font="Wingdings 2" w:char="0052"/>
            </w:r>
            <w:r>
              <w:rPr>
                <w:rFonts w:hint="eastAsia" w:ascii="宋体" w:hAnsi="宋体" w:cs="宋体"/>
                <w:color w:val="000000"/>
                <w:szCs w:val="21"/>
              </w:rPr>
              <w:t>需要提供证明材料。</w:t>
            </w:r>
          </w:p>
          <w:p>
            <w:pPr>
              <w:spacing w:line="360" w:lineRule="auto"/>
              <w:ind w:firstLine="210" w:firstLineChars="100"/>
              <w:rPr>
                <w:rFonts w:ascii="宋体" w:hAnsi="宋体" w:cs="宋体"/>
                <w:color w:val="000000"/>
                <w:szCs w:val="21"/>
              </w:rPr>
            </w:pPr>
            <w:r>
              <w:rPr>
                <w:rFonts w:hint="eastAsia" w:ascii="宋体" w:hAnsi="宋体" w:cs="宋体"/>
                <w:szCs w:val="21"/>
              </w:rPr>
              <w:t>包括：采购文件发出之日起，至响应文件递交截止日期间，“信用中国”网站(www.creditchina.gov.cn)、中国政府采购网(www.ccgp.gov.cn)查询，</w:t>
            </w:r>
            <w:r>
              <w:rPr>
                <w:rFonts w:hint="eastAsia" w:ascii="宋体" w:hAnsi="宋体" w:cs="宋体"/>
                <w:szCs w:val="21"/>
                <w:lang w:eastAsia="zh-CN"/>
              </w:rPr>
              <w:t>供应商</w:t>
            </w:r>
            <w:r>
              <w:rPr>
                <w:rFonts w:hint="eastAsia" w:ascii="宋体" w:hAnsi="宋体" w:cs="宋体"/>
                <w:szCs w:val="21"/>
              </w:rPr>
              <w:t>未被列入信用记录失信被执行人、重大税收违法案件当事人名单、政府采购严重违法失信行为记录名单的网页截图。</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3.6.1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对关键条款进行响应的证据或证明材料要求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jc w:val="both"/>
              <w:rPr>
                <w:rFonts w:ascii="宋体" w:hAnsi="宋体" w:cs="宋体"/>
                <w:color w:val="000000"/>
                <w:szCs w:val="21"/>
              </w:rPr>
            </w:pPr>
            <w:r>
              <w:rPr>
                <w:rFonts w:hint="eastAsia" w:ascii="宋体" w:hAnsi="宋体" w:cs="宋体"/>
                <w:color w:val="000000"/>
                <w:szCs w:val="21"/>
              </w:rPr>
              <w:t>提供证据或证明材料复印件，并加盖单位公章。</w:t>
            </w:r>
          </w:p>
        </w:tc>
      </w:tr>
      <w:tr>
        <w:tblPrEx>
          <w:tblCellMar>
            <w:top w:w="0" w:type="dxa"/>
            <w:left w:w="108" w:type="dxa"/>
            <w:bottom w:w="0" w:type="dxa"/>
            <w:right w:w="108" w:type="dxa"/>
          </w:tblCellMar>
        </w:tblPrEx>
        <w:trPr>
          <w:trHeight w:val="677"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3.6.2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响应方案数量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szCs w:val="21"/>
              </w:rPr>
              <w:sym w:font="Wingdings 2" w:char="0052"/>
            </w:r>
            <w:r>
              <w:rPr>
                <w:rFonts w:hint="eastAsia" w:ascii="宋体" w:hAnsi="宋体" w:cs="宋体"/>
                <w:szCs w:val="21"/>
              </w:rPr>
              <w:t>供应商只能提出唯一响应方案</w:t>
            </w:r>
          </w:p>
        </w:tc>
      </w:tr>
      <w:tr>
        <w:tblPrEx>
          <w:tblCellMar>
            <w:top w:w="0" w:type="dxa"/>
            <w:left w:w="108" w:type="dxa"/>
            <w:bottom w:w="0" w:type="dxa"/>
            <w:right w:w="108" w:type="dxa"/>
          </w:tblCellMar>
        </w:tblPrEx>
        <w:trPr>
          <w:trHeight w:val="90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3.7</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响应文件及电子版要求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是否要求提供电子版响应文件：</w:t>
            </w:r>
            <w:r>
              <w:rPr>
                <w:rFonts w:hint="eastAsia" w:ascii="宋体" w:hAnsi="宋体" w:cs="宋体"/>
                <w:color w:val="000000"/>
                <w:szCs w:val="21"/>
              </w:rPr>
              <w:sym w:font="Wingdings 2" w:char="0052"/>
            </w:r>
            <w:r>
              <w:rPr>
                <w:rFonts w:hint="eastAsia" w:ascii="宋体" w:hAnsi="宋体" w:cs="宋体"/>
                <w:color w:val="000000"/>
                <w:szCs w:val="21"/>
              </w:rPr>
              <w:t>不要求</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4.1.1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响应文件的密封</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jc w:val="both"/>
              <w:rPr>
                <w:rFonts w:ascii="宋体" w:hAnsi="宋体" w:cs="宋体"/>
                <w:color w:val="000000"/>
                <w:szCs w:val="21"/>
              </w:rPr>
            </w:pPr>
            <w:r>
              <w:rPr>
                <w:rFonts w:hint="eastAsia" w:ascii="宋体" w:hAnsi="宋体" w:cs="宋体"/>
                <w:color w:val="000000"/>
                <w:szCs w:val="21"/>
              </w:rPr>
              <w:t>响应文件须密封包装，并在封套的封口处加盖供应商单位章。</w:t>
            </w:r>
          </w:p>
        </w:tc>
      </w:tr>
      <w:tr>
        <w:tblPrEx>
          <w:tblCellMar>
            <w:top w:w="0" w:type="dxa"/>
            <w:left w:w="108" w:type="dxa"/>
            <w:bottom w:w="0" w:type="dxa"/>
            <w:right w:w="108" w:type="dxa"/>
          </w:tblCellMar>
        </w:tblPrEx>
        <w:trPr>
          <w:trHeight w:val="1216"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4.1.2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封套上应载明的信息</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sym w:font="Wingdings 2" w:char="0052"/>
            </w:r>
            <w:r>
              <w:rPr>
                <w:rFonts w:hint="eastAsia" w:ascii="宋体" w:hAnsi="宋体" w:cs="宋体"/>
                <w:color w:val="000000"/>
                <w:szCs w:val="21"/>
              </w:rPr>
              <w:t>适用：</w:t>
            </w:r>
            <w:r>
              <w:rPr>
                <w:rFonts w:hint="eastAsia" w:ascii="宋体" w:hAnsi="宋体" w:cs="宋体"/>
                <w:color w:val="000000"/>
                <w:szCs w:val="21"/>
                <w:u w:val="single"/>
              </w:rPr>
              <w:t>XXXX公司XXXX项目响应文件</w:t>
            </w:r>
          </w:p>
        </w:tc>
      </w:tr>
      <w:tr>
        <w:tblPrEx>
          <w:tblCellMar>
            <w:top w:w="0" w:type="dxa"/>
            <w:left w:w="108" w:type="dxa"/>
            <w:bottom w:w="0" w:type="dxa"/>
            <w:right w:w="108" w:type="dxa"/>
          </w:tblCellMar>
        </w:tblPrEx>
        <w:trPr>
          <w:trHeight w:val="1125"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4.2.1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highlight w:val="none"/>
              </w:rPr>
            </w:pPr>
            <w:r>
              <w:rPr>
                <w:rFonts w:hint="eastAsia" w:ascii="宋体" w:hAnsi="宋体" w:cs="宋体"/>
                <w:color w:val="000000"/>
                <w:szCs w:val="21"/>
                <w:highlight w:val="none"/>
              </w:rPr>
              <w:t>递交响应文件截止时间和地点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highlight w:val="none"/>
              </w:rPr>
            </w:pPr>
            <w:r>
              <w:rPr>
                <w:rFonts w:hint="eastAsia" w:ascii="宋体" w:hAnsi="宋体" w:cs="宋体"/>
                <w:color w:val="000000"/>
                <w:szCs w:val="21"/>
                <w:highlight w:val="none"/>
              </w:rPr>
              <w:t>截止时间：</w:t>
            </w:r>
            <w:r>
              <w:rPr>
                <w:rFonts w:hint="eastAsia" w:ascii="宋体" w:hAnsi="宋体" w:cs="宋体"/>
                <w:color w:val="000000"/>
                <w:szCs w:val="21"/>
                <w:highlight w:val="none"/>
                <w:u w:val="single"/>
              </w:rPr>
              <w:t>202</w:t>
            </w:r>
            <w:r>
              <w:rPr>
                <w:rFonts w:ascii="宋体" w:hAnsi="宋体" w:cs="宋体"/>
                <w:color w:val="000000"/>
                <w:szCs w:val="21"/>
                <w:highlight w:val="none"/>
                <w:u w:val="single"/>
              </w:rPr>
              <w:t>3</w:t>
            </w:r>
            <w:r>
              <w:rPr>
                <w:rFonts w:hint="eastAsia" w:ascii="宋体" w:hAnsi="宋体" w:cs="宋体"/>
                <w:color w:val="000000"/>
                <w:szCs w:val="21"/>
                <w:highlight w:val="none"/>
                <w:u w:val="single"/>
              </w:rPr>
              <w:t>年</w:t>
            </w:r>
            <w:r>
              <w:rPr>
                <w:rFonts w:hint="eastAsia" w:ascii="宋体" w:hAnsi="宋体" w:cs="宋体"/>
                <w:color w:val="000000"/>
                <w:szCs w:val="21"/>
                <w:highlight w:val="none"/>
                <w:u w:val="single"/>
                <w:lang w:val="en-US" w:eastAsia="zh-CN"/>
              </w:rPr>
              <w:t>5</w:t>
            </w:r>
            <w:r>
              <w:rPr>
                <w:rFonts w:hint="eastAsia" w:ascii="宋体" w:hAnsi="宋体" w:cs="宋体"/>
                <w:color w:val="000000"/>
                <w:szCs w:val="21"/>
                <w:highlight w:val="none"/>
                <w:u w:val="single"/>
              </w:rPr>
              <w:t>月</w:t>
            </w:r>
            <w:r>
              <w:rPr>
                <w:rFonts w:hint="eastAsia" w:ascii="宋体" w:hAnsi="宋体" w:cs="宋体"/>
                <w:color w:val="000000"/>
                <w:szCs w:val="21"/>
                <w:highlight w:val="none"/>
                <w:u w:val="single"/>
                <w:lang w:val="en-US" w:eastAsia="zh-CN"/>
              </w:rPr>
              <w:t>31</w:t>
            </w:r>
            <w:r>
              <w:rPr>
                <w:rFonts w:hint="eastAsia" w:ascii="宋体" w:hAnsi="宋体" w:cs="宋体"/>
                <w:color w:val="000000"/>
                <w:szCs w:val="21"/>
                <w:highlight w:val="none"/>
                <w:u w:val="single"/>
              </w:rPr>
              <w:t>日</w:t>
            </w:r>
            <w:r>
              <w:rPr>
                <w:rFonts w:hint="eastAsia" w:ascii="宋体" w:hAnsi="宋体" w:cs="宋体"/>
                <w:color w:val="000000"/>
                <w:szCs w:val="21"/>
                <w:highlight w:val="none"/>
                <w:u w:val="single"/>
                <w:lang w:val="en-US" w:eastAsia="zh-CN"/>
              </w:rPr>
              <w:t>9</w:t>
            </w:r>
            <w:r>
              <w:rPr>
                <w:rFonts w:hint="eastAsia" w:ascii="宋体" w:hAnsi="宋体" w:cs="宋体"/>
                <w:color w:val="000000"/>
                <w:szCs w:val="21"/>
                <w:highlight w:val="none"/>
                <w:u w:val="single"/>
              </w:rPr>
              <w:t>时30分</w:t>
            </w:r>
          </w:p>
          <w:p>
            <w:pPr>
              <w:spacing w:line="360" w:lineRule="auto"/>
              <w:jc w:val="both"/>
              <w:rPr>
                <w:rFonts w:ascii="宋体" w:hAnsi="宋体" w:cs="宋体"/>
                <w:color w:val="000000"/>
                <w:szCs w:val="21"/>
                <w:highlight w:val="none"/>
              </w:rPr>
            </w:pPr>
            <w:r>
              <w:rPr>
                <w:rFonts w:hint="eastAsia" w:ascii="宋体" w:hAnsi="宋体" w:cs="宋体"/>
                <w:color w:val="000000"/>
                <w:szCs w:val="21"/>
                <w:highlight w:val="none"/>
              </w:rPr>
              <w:t>递交响应文件的地点：</w:t>
            </w:r>
            <w:r>
              <w:rPr>
                <w:rFonts w:hint="eastAsia" w:ascii="宋体" w:hAnsi="宋体" w:cs="宋体"/>
                <w:color w:val="000000"/>
                <w:szCs w:val="21"/>
                <w:highlight w:val="none"/>
                <w:u w:val="single"/>
                <w:lang w:val="en-US" w:eastAsia="zh-CN"/>
              </w:rPr>
              <w:t>湖南省港务集团有限公司六楼602开标室</w:t>
            </w:r>
            <w:r>
              <w:rPr>
                <w:rFonts w:hint="eastAsia" w:ascii="宋体" w:hAnsi="宋体" w:cs="宋体"/>
                <w:color w:val="000000"/>
                <w:szCs w:val="21"/>
                <w:highlight w:val="none"/>
              </w:rPr>
              <w:t xml:space="preserve">    </w:t>
            </w:r>
          </w:p>
        </w:tc>
      </w:tr>
      <w:tr>
        <w:tblPrEx>
          <w:tblCellMar>
            <w:top w:w="0" w:type="dxa"/>
            <w:left w:w="108" w:type="dxa"/>
            <w:bottom w:w="0" w:type="dxa"/>
            <w:right w:w="108" w:type="dxa"/>
          </w:tblCellMar>
        </w:tblPrEx>
        <w:trPr>
          <w:trHeight w:val="606"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4.2.2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是否退还响应文件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szCs w:val="21"/>
              </w:rPr>
              <w:sym w:font="Wingdings 2" w:char="0052"/>
            </w:r>
            <w:r>
              <w:rPr>
                <w:rFonts w:hint="eastAsia" w:ascii="宋体" w:hAnsi="宋体" w:cs="宋体"/>
                <w:szCs w:val="21"/>
              </w:rPr>
              <w:t>否</w:t>
            </w:r>
          </w:p>
        </w:tc>
      </w:tr>
      <w:tr>
        <w:tblPrEx>
          <w:tblCellMar>
            <w:top w:w="0" w:type="dxa"/>
            <w:left w:w="108" w:type="dxa"/>
            <w:bottom w:w="0" w:type="dxa"/>
            <w:right w:w="108" w:type="dxa"/>
          </w:tblCellMar>
        </w:tblPrEx>
        <w:trPr>
          <w:trHeight w:val="748"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4.3.</w:t>
            </w:r>
            <w:r>
              <w:rPr>
                <w:rFonts w:ascii="宋体" w:hAnsi="宋体" w:cs="宋体"/>
                <w:color w:val="000000"/>
                <w:szCs w:val="21"/>
              </w:rPr>
              <w:t>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供应商撤回响应文件情况下退还响应保证金的时间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无</w:t>
            </w:r>
          </w:p>
        </w:tc>
      </w:tr>
      <w:tr>
        <w:tblPrEx>
          <w:tblCellMar>
            <w:top w:w="0" w:type="dxa"/>
            <w:left w:w="108" w:type="dxa"/>
            <w:bottom w:w="0" w:type="dxa"/>
            <w:right w:w="108" w:type="dxa"/>
          </w:tblCellMar>
        </w:tblPrEx>
        <w:trPr>
          <w:trHeight w:val="61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5</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是否公开开启响应文件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szCs w:val="21"/>
              </w:rPr>
              <w:sym w:font="Wingdings 2" w:char="0052"/>
            </w:r>
            <w:r>
              <w:rPr>
                <w:rFonts w:hint="eastAsia" w:ascii="宋体" w:hAnsi="宋体" w:cs="宋体"/>
                <w:szCs w:val="21"/>
              </w:rPr>
              <w:t>否</w:t>
            </w:r>
          </w:p>
        </w:tc>
      </w:tr>
      <w:tr>
        <w:tblPrEx>
          <w:tblCellMar>
            <w:top w:w="0" w:type="dxa"/>
            <w:left w:w="108" w:type="dxa"/>
            <w:bottom w:w="0" w:type="dxa"/>
            <w:right w:w="108" w:type="dxa"/>
          </w:tblCellMar>
        </w:tblPrEx>
        <w:trPr>
          <w:trHeight w:val="5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5.1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开启地点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highlight w:val="yellow"/>
              </w:rPr>
            </w:pPr>
            <w:r>
              <w:rPr>
                <w:rFonts w:hint="eastAsia" w:ascii="宋体" w:hAnsi="宋体" w:cs="宋体"/>
                <w:color w:val="000000"/>
                <w:szCs w:val="21"/>
              </w:rPr>
              <w:t>湖南省港务集团有限公司六楼602开标室</w:t>
            </w:r>
          </w:p>
        </w:tc>
      </w:tr>
      <w:tr>
        <w:tblPrEx>
          <w:tblCellMar>
            <w:top w:w="0" w:type="dxa"/>
            <w:left w:w="108" w:type="dxa"/>
            <w:bottom w:w="0" w:type="dxa"/>
            <w:right w:w="108" w:type="dxa"/>
          </w:tblCellMar>
        </w:tblPrEx>
        <w:trPr>
          <w:trHeight w:val="603"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5.2（4）</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开启程序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开启顺序：</w:t>
            </w:r>
            <w:r>
              <w:rPr>
                <w:rFonts w:hint="eastAsia" w:ascii="宋体" w:hAnsi="宋体" w:cs="宋体"/>
                <w:color w:val="000000"/>
                <w:szCs w:val="21"/>
                <w:u w:val="single"/>
              </w:rPr>
              <w:t xml:space="preserve"> 随机 </w:t>
            </w:r>
          </w:p>
        </w:tc>
      </w:tr>
      <w:tr>
        <w:tblPrEx>
          <w:tblCellMar>
            <w:top w:w="0" w:type="dxa"/>
            <w:left w:w="108" w:type="dxa"/>
            <w:bottom w:w="0" w:type="dxa"/>
            <w:right w:w="108" w:type="dxa"/>
          </w:tblCellMar>
        </w:tblPrEx>
        <w:trPr>
          <w:trHeight w:val="1125"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6.1.1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评审小组的组建</w:t>
            </w:r>
            <w:r>
              <w:rPr>
                <w:rStyle w:val="48"/>
                <w:rFonts w:hint="eastAsia" w:ascii="宋体" w:hAnsi="宋体" w:cs="宋体"/>
                <w:color w:val="000000"/>
                <w:szCs w:val="21"/>
              </w:rPr>
              <w:footnoteReference w:id="0"/>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评标小组构成：</w:t>
            </w:r>
            <w:r>
              <w:rPr>
                <w:rFonts w:hint="eastAsia" w:ascii="宋体" w:hAnsi="宋体" w:cs="宋体"/>
                <w:color w:val="000000"/>
                <w:szCs w:val="21"/>
                <w:u w:val="single"/>
              </w:rPr>
              <w:t>3</w:t>
            </w:r>
            <w:r>
              <w:rPr>
                <w:rFonts w:hint="eastAsia" w:ascii="宋体" w:hAnsi="宋体" w:cs="宋体"/>
                <w:color w:val="000000"/>
                <w:szCs w:val="21"/>
              </w:rPr>
              <w:t>人。</w:t>
            </w:r>
          </w:p>
          <w:p>
            <w:pPr>
              <w:spacing w:line="360" w:lineRule="auto"/>
              <w:jc w:val="both"/>
              <w:rPr>
                <w:rFonts w:ascii="宋体" w:hAnsi="宋体" w:cs="宋体"/>
                <w:color w:val="000000"/>
                <w:szCs w:val="21"/>
              </w:rPr>
            </w:pPr>
            <w:r>
              <w:rPr>
                <w:rFonts w:hint="eastAsia" w:ascii="宋体" w:hAnsi="宋体" w:cs="宋体"/>
                <w:color w:val="000000"/>
                <w:szCs w:val="21"/>
              </w:rPr>
              <w:t>评审专家确定方式：在湖南省湘水集团有限公司综合评标专家库中随机抽取。</w:t>
            </w:r>
          </w:p>
        </w:tc>
      </w:tr>
      <w:tr>
        <w:tblPrEx>
          <w:tblCellMar>
            <w:top w:w="0" w:type="dxa"/>
            <w:left w:w="108" w:type="dxa"/>
            <w:bottom w:w="0" w:type="dxa"/>
            <w:right w:w="108" w:type="dxa"/>
          </w:tblCellMar>
        </w:tblPrEx>
        <w:trPr>
          <w:trHeight w:val="754"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6.2.2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评审小组推荐成交候选供应商的数量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 xml:space="preserve"> 2-3 个，并标明推荐顺序。</w:t>
            </w:r>
          </w:p>
        </w:tc>
      </w:tr>
      <w:tr>
        <w:tblPrEx>
          <w:tblCellMar>
            <w:top w:w="0" w:type="dxa"/>
            <w:left w:w="108" w:type="dxa"/>
            <w:bottom w:w="0" w:type="dxa"/>
            <w:right w:w="108" w:type="dxa"/>
          </w:tblCellMar>
        </w:tblPrEx>
        <w:trPr>
          <w:trHeight w:val="2132"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7.2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成交候选供应商公示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公示媒介：中国招标投标公共服务平台（http：//www.cebpubservice.com）、湖南省湘水集团有限公司网站（http：//www.hnsxsjt.com）、湖南省港务集团有限公司网站（http://www.hnsgwjt.com/）上发布。</w:t>
            </w:r>
          </w:p>
          <w:p>
            <w:pPr>
              <w:spacing w:line="360" w:lineRule="auto"/>
              <w:jc w:val="both"/>
              <w:rPr>
                <w:rFonts w:ascii="宋体" w:hAnsi="宋体" w:cs="宋体"/>
                <w:color w:val="000000"/>
                <w:szCs w:val="21"/>
              </w:rPr>
            </w:pPr>
            <w:r>
              <w:rPr>
                <w:rFonts w:hint="eastAsia" w:ascii="宋体" w:hAnsi="宋体" w:cs="宋体"/>
                <w:color w:val="000000"/>
                <w:szCs w:val="21"/>
              </w:rPr>
              <w:t>公示期限：</w:t>
            </w:r>
            <w:r>
              <w:rPr>
                <w:rFonts w:hint="eastAsia" w:ascii="宋体" w:hAnsi="宋体" w:cs="宋体"/>
                <w:color w:val="000000"/>
                <w:szCs w:val="21"/>
                <w:u w:val="single"/>
              </w:rPr>
              <w:t>3个工作日</w:t>
            </w:r>
          </w:p>
        </w:tc>
      </w:tr>
      <w:tr>
        <w:tblPrEx>
          <w:tblCellMar>
            <w:top w:w="0" w:type="dxa"/>
            <w:left w:w="108" w:type="dxa"/>
            <w:bottom w:w="0" w:type="dxa"/>
            <w:right w:w="108" w:type="dxa"/>
          </w:tblCellMar>
        </w:tblPrEx>
        <w:trPr>
          <w:trHeight w:val="70"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7.7</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履约保证金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Cs w:val="21"/>
              </w:rPr>
            </w:pPr>
            <w:r>
              <w:rPr>
                <w:rFonts w:hint="eastAsia" w:ascii="宋体" w:hAnsi="宋体" w:cs="宋体"/>
                <w:szCs w:val="21"/>
              </w:rPr>
              <w:sym w:font="Wingdings 2" w:char="0052"/>
            </w:r>
            <w:r>
              <w:rPr>
                <w:rFonts w:hint="eastAsia" w:ascii="宋体" w:hAnsi="宋体" w:cs="宋体"/>
                <w:szCs w:val="21"/>
              </w:rPr>
              <w:t>不要求提交</w:t>
            </w:r>
          </w:p>
        </w:tc>
      </w:tr>
      <w:tr>
        <w:tblPrEx>
          <w:tblCellMar>
            <w:top w:w="0" w:type="dxa"/>
            <w:left w:w="108" w:type="dxa"/>
            <w:bottom w:w="0" w:type="dxa"/>
            <w:right w:w="108" w:type="dxa"/>
          </w:tblCellMar>
        </w:tblPrEx>
        <w:trPr>
          <w:trHeight w:val="151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8.1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异议渠道</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highlight w:val="yellow"/>
                <w:u w:val="single"/>
              </w:rPr>
            </w:pPr>
            <w:r>
              <w:rPr>
                <w:rFonts w:hint="eastAsia" w:ascii="宋体" w:hAnsi="宋体" w:cs="宋体"/>
                <w:color w:val="000000"/>
                <w:szCs w:val="21"/>
              </w:rPr>
              <w:t>联系人：</w:t>
            </w:r>
            <w:r>
              <w:rPr>
                <w:rFonts w:hint="eastAsia" w:ascii="宋体" w:hAnsi="宋体" w:cs="宋体"/>
                <w:color w:val="000000"/>
                <w:szCs w:val="21"/>
                <w:u w:val="single"/>
              </w:rPr>
              <w:t>岳阳城陵矶新港有限公司综合管理部</w:t>
            </w:r>
          </w:p>
          <w:p>
            <w:pPr>
              <w:spacing w:line="360" w:lineRule="auto"/>
              <w:jc w:val="both"/>
              <w:rPr>
                <w:rFonts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highlight w:val="none"/>
              </w:rPr>
              <w:t>：</w:t>
            </w:r>
            <w:r>
              <w:rPr>
                <w:rFonts w:hint="eastAsia" w:ascii="宋体" w:hAnsi="宋体" w:cs="宋体"/>
                <w:color w:val="000000"/>
                <w:szCs w:val="21"/>
                <w:highlight w:val="none"/>
                <w:u w:val="single"/>
                <w:lang w:val="en-US" w:eastAsia="zh-CN"/>
              </w:rPr>
              <w:t>13975080729</w:t>
            </w:r>
            <w:r>
              <w:rPr>
                <w:rFonts w:hint="eastAsia" w:ascii="宋体" w:hAnsi="宋体" w:cs="宋体"/>
                <w:color w:val="000000"/>
                <w:szCs w:val="21"/>
                <w:highlight w:val="none"/>
              </w:rPr>
              <w:t xml:space="preserve">    </w:t>
            </w:r>
          </w:p>
          <w:p>
            <w:pPr>
              <w:spacing w:line="360" w:lineRule="auto"/>
              <w:jc w:val="both"/>
              <w:rPr>
                <w:rFonts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湖南省岳阳市云溪区沿江西路50米</w:t>
            </w:r>
            <w:r>
              <w:rPr>
                <w:rFonts w:hint="eastAsia" w:ascii="宋体" w:hAnsi="宋体" w:cs="宋体"/>
                <w:color w:val="000000"/>
                <w:szCs w:val="21"/>
              </w:rPr>
              <w:t xml:space="preserve">           </w:t>
            </w:r>
          </w:p>
        </w:tc>
      </w:tr>
      <w:tr>
        <w:tblPrEx>
          <w:tblCellMar>
            <w:top w:w="0" w:type="dxa"/>
            <w:left w:w="108" w:type="dxa"/>
            <w:bottom w:w="0" w:type="dxa"/>
            <w:right w:w="108" w:type="dxa"/>
          </w:tblCellMar>
        </w:tblPrEx>
        <w:trPr>
          <w:trHeight w:val="593"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10.1</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采购代理服务费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szCs w:val="21"/>
              </w:rPr>
              <w:sym w:font="Wingdings 2" w:char="0052"/>
            </w:r>
            <w:r>
              <w:rPr>
                <w:rFonts w:hint="eastAsia" w:ascii="宋体" w:hAnsi="宋体" w:cs="宋体"/>
                <w:szCs w:val="21"/>
              </w:rPr>
              <w:t>不要求承担</w:t>
            </w:r>
          </w:p>
        </w:tc>
      </w:tr>
      <w:tr>
        <w:tblPrEx>
          <w:tblCellMar>
            <w:top w:w="0" w:type="dxa"/>
            <w:left w:w="108" w:type="dxa"/>
            <w:bottom w:w="0" w:type="dxa"/>
            <w:right w:w="108" w:type="dxa"/>
          </w:tblCellMar>
        </w:tblPrEx>
        <w:trPr>
          <w:trHeight w:val="1819" w:hRule="atLeast"/>
        </w:trPr>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10.2</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需要补充的其他内容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szCs w:val="21"/>
              </w:rPr>
            </w:pPr>
            <w:r>
              <w:rPr>
                <w:rFonts w:hint="eastAsia" w:ascii="宋体" w:hAnsi="宋体" w:cs="宋体"/>
                <w:color w:val="000000"/>
                <w:szCs w:val="21"/>
              </w:rPr>
              <w:t>1.供应商提供的相关证明文件若为复印件，必须加盖单位公章。</w:t>
            </w:r>
          </w:p>
          <w:p>
            <w:pPr>
              <w:spacing w:line="360" w:lineRule="auto"/>
              <w:jc w:val="both"/>
              <w:rPr>
                <w:rFonts w:ascii="宋体" w:hAnsi="宋体" w:cs="宋体"/>
                <w:color w:val="000000"/>
                <w:szCs w:val="21"/>
              </w:rPr>
            </w:pPr>
            <w:r>
              <w:rPr>
                <w:rFonts w:hint="eastAsia" w:ascii="宋体" w:hAnsi="宋体" w:cs="宋体"/>
                <w:color w:val="000000"/>
                <w:szCs w:val="21"/>
              </w:rPr>
              <w:t>2.本项目不接受联合体投标。</w:t>
            </w:r>
          </w:p>
          <w:p>
            <w:pPr>
              <w:spacing w:line="360" w:lineRule="auto"/>
              <w:jc w:val="both"/>
              <w:rPr>
                <w:rFonts w:ascii="宋体" w:hAnsi="宋体" w:cs="宋体"/>
                <w:color w:val="000000"/>
                <w:szCs w:val="21"/>
              </w:rPr>
            </w:pPr>
            <w:r>
              <w:rPr>
                <w:rFonts w:hint="eastAsia" w:ascii="宋体" w:hAnsi="宋体" w:cs="宋体"/>
                <w:color w:val="000000"/>
                <w:szCs w:val="21"/>
              </w:rPr>
              <w:t>3.响应文件份数：</w:t>
            </w:r>
            <w:r>
              <w:rPr>
                <w:rFonts w:hint="eastAsia" w:ascii="宋体" w:hAnsi="宋体" w:cs="宋体"/>
                <w:color w:val="000000"/>
                <w:szCs w:val="21"/>
                <w:u w:val="single"/>
              </w:rPr>
              <w:t>正本1份</w:t>
            </w:r>
            <w:r>
              <w:rPr>
                <w:rFonts w:hint="eastAsia" w:ascii="宋体" w:hAnsi="宋体" w:cs="宋体"/>
                <w:color w:val="000000"/>
                <w:szCs w:val="21"/>
              </w:rPr>
              <w:t>，</w:t>
            </w:r>
            <w:r>
              <w:rPr>
                <w:rFonts w:hint="eastAsia" w:ascii="宋体" w:hAnsi="宋体" w:cs="宋体"/>
                <w:color w:val="000000"/>
                <w:szCs w:val="21"/>
                <w:u w:val="single"/>
              </w:rPr>
              <w:t>副本 2 份</w:t>
            </w:r>
            <w:r>
              <w:rPr>
                <w:rFonts w:hint="eastAsia" w:ascii="宋体" w:hAnsi="宋体" w:cs="宋体"/>
                <w:color w:val="000000"/>
                <w:szCs w:val="21"/>
              </w:rPr>
              <w:t>。</w:t>
            </w:r>
          </w:p>
        </w:tc>
      </w:tr>
    </w:tbl>
    <w:p>
      <w:pPr>
        <w:pStyle w:val="9"/>
        <w:spacing w:line="360" w:lineRule="auto"/>
        <w:jc w:val="center"/>
        <w:rPr>
          <w:rFonts w:ascii="仿宋" w:hAnsi="仿宋" w:eastAsia="仿宋" w:cs="仿宋"/>
          <w:sz w:val="30"/>
          <w:szCs w:val="30"/>
        </w:rPr>
      </w:pPr>
      <w:r>
        <w:rPr>
          <w:rFonts w:ascii="仿宋" w:hAnsi="仿宋" w:eastAsia="仿宋" w:cs="仿宋"/>
          <w:sz w:val="30"/>
          <w:szCs w:val="30"/>
        </w:rPr>
        <w:br w:type="page"/>
      </w:r>
      <w:bookmarkStart w:id="11" w:name="_Toc9633"/>
      <w:r>
        <w:rPr>
          <w:rFonts w:hint="eastAsia" w:ascii="黑体" w:hAnsi="黑体"/>
        </w:rPr>
        <w:t>供应商须知正文</w:t>
      </w:r>
      <w:bookmarkEnd w:id="11"/>
    </w:p>
    <w:p>
      <w:pPr>
        <w:adjustRightInd w:val="0"/>
        <w:snapToGrid w:val="0"/>
        <w:spacing w:before="120" w:beforeLines="50" w:after="120" w:afterLines="50" w:line="360" w:lineRule="auto"/>
        <w:jc w:val="both"/>
        <w:rPr>
          <w:rFonts w:ascii="宋体" w:hAnsi="宋体" w:cs="仿宋"/>
          <w:b/>
          <w:bCs/>
          <w:sz w:val="24"/>
        </w:rPr>
      </w:pPr>
      <w:r>
        <w:rPr>
          <w:rFonts w:hint="eastAsia" w:ascii="宋体" w:hAnsi="宋体" w:cs="仿宋"/>
          <w:b/>
          <w:bCs/>
          <w:sz w:val="24"/>
        </w:rPr>
        <w:t>1 总则</w:t>
      </w:r>
    </w:p>
    <w:p>
      <w:pPr>
        <w:adjustRightInd w:val="0"/>
        <w:snapToGrid w:val="0"/>
        <w:spacing w:line="360" w:lineRule="auto"/>
        <w:jc w:val="both"/>
        <w:rPr>
          <w:rFonts w:ascii="宋体" w:hAnsi="宋体" w:cs="仿宋"/>
          <w:b/>
          <w:bCs/>
          <w:sz w:val="24"/>
        </w:rPr>
      </w:pPr>
      <w:r>
        <w:rPr>
          <w:rFonts w:hint="eastAsia" w:ascii="宋体" w:hAnsi="宋体" w:cs="仿宋"/>
          <w:b/>
          <w:bCs/>
          <w:sz w:val="24"/>
        </w:rPr>
        <w:t>1.1采购方法和评审办法</w:t>
      </w:r>
    </w:p>
    <w:p>
      <w:pPr>
        <w:pStyle w:val="66"/>
        <w:spacing w:line="360" w:lineRule="auto"/>
        <w:ind w:firstLine="453" w:firstLineChars="189"/>
        <w:rPr>
          <w:rFonts w:hAnsi="宋体" w:eastAsia="宋体" w:cs="仿宋"/>
          <w:sz w:val="24"/>
          <w:szCs w:val="24"/>
        </w:rPr>
      </w:pPr>
      <w:r>
        <w:rPr>
          <w:rFonts w:hint="eastAsia" w:hAnsi="宋体" w:eastAsia="宋体" w:cs="仿宋"/>
          <w:sz w:val="24"/>
          <w:szCs w:val="24"/>
        </w:rPr>
        <w:t>本项目采用供应商须知前附表规定的采购方式和评审办法。</w:t>
      </w:r>
    </w:p>
    <w:p>
      <w:pPr>
        <w:pStyle w:val="66"/>
        <w:spacing w:line="360" w:lineRule="auto"/>
        <w:ind w:firstLine="0" w:firstLineChars="0"/>
        <w:rPr>
          <w:rFonts w:hAnsi="宋体" w:eastAsia="宋体" w:cs="仿宋"/>
          <w:sz w:val="24"/>
          <w:szCs w:val="24"/>
        </w:rPr>
      </w:pPr>
      <w:r>
        <w:rPr>
          <w:rFonts w:hint="eastAsia" w:hAnsi="宋体" w:eastAsia="宋体" w:cs="仿宋"/>
          <w:sz w:val="24"/>
          <w:szCs w:val="24"/>
        </w:rPr>
        <w:t>1.1.1采购方法</w:t>
      </w:r>
    </w:p>
    <w:p>
      <w:pPr>
        <w:pStyle w:val="66"/>
        <w:spacing w:line="360"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66"/>
        <w:spacing w:line="360" w:lineRule="auto"/>
        <w:ind w:firstLine="0" w:firstLineChars="0"/>
        <w:rPr>
          <w:rFonts w:hAnsi="宋体" w:eastAsia="宋体" w:cs="仿宋"/>
          <w:sz w:val="24"/>
          <w:szCs w:val="24"/>
        </w:rPr>
      </w:pPr>
      <w:r>
        <w:rPr>
          <w:rFonts w:hint="eastAsia" w:hAnsi="宋体" w:eastAsia="宋体" w:cs="仿宋"/>
          <w:sz w:val="24"/>
          <w:szCs w:val="24"/>
        </w:rPr>
        <w:t>1.1.2评审办法</w:t>
      </w:r>
    </w:p>
    <w:p>
      <w:pPr>
        <w:pStyle w:val="66"/>
        <w:spacing w:line="360" w:lineRule="auto"/>
        <w:ind w:firstLine="453" w:firstLineChars="189"/>
        <w:rPr>
          <w:rFonts w:hAnsi="宋体" w:eastAsia="宋体" w:cs="仿宋"/>
          <w:color w:val="FF0000"/>
          <w:sz w:val="24"/>
          <w:szCs w:val="24"/>
        </w:rPr>
      </w:pPr>
      <w:r>
        <w:rPr>
          <w:rFonts w:hint="eastAsia" w:hAnsi="宋体" w:eastAsia="宋体" w:cs="仿宋"/>
          <w:sz w:val="24"/>
          <w:szCs w:val="24"/>
        </w:rPr>
        <w:t>综合评分法，指</w:t>
      </w:r>
      <w:r>
        <w:rPr>
          <w:rFonts w:hint="eastAsia" w:hAnsi="宋体" w:eastAsia="宋体" w:cs="仿宋"/>
          <w:sz w:val="24"/>
          <w:szCs w:val="24"/>
          <w:lang w:eastAsia="zh-CN"/>
        </w:rPr>
        <w:t>响应文件</w:t>
      </w:r>
      <w:r>
        <w:rPr>
          <w:rFonts w:hint="eastAsia" w:hAnsi="宋体" w:eastAsia="宋体" w:cs="仿宋"/>
          <w:sz w:val="24"/>
          <w:szCs w:val="24"/>
        </w:rPr>
        <w:t>满足</w:t>
      </w:r>
      <w:r>
        <w:rPr>
          <w:rFonts w:hint="eastAsia" w:hAnsi="宋体" w:eastAsia="宋体" w:cs="仿宋"/>
          <w:sz w:val="24"/>
          <w:szCs w:val="24"/>
          <w:lang w:eastAsia="zh-CN"/>
        </w:rPr>
        <w:t>采购文件</w:t>
      </w:r>
      <w:r>
        <w:rPr>
          <w:rFonts w:hint="eastAsia" w:hAnsi="宋体" w:eastAsia="宋体" w:cs="仿宋"/>
          <w:sz w:val="24"/>
          <w:szCs w:val="24"/>
        </w:rPr>
        <w:t>全部实质性要求，且按照技术、资质、业绩、信誉、服务等评审因素的量化指标评审得分最高的</w:t>
      </w:r>
      <w:r>
        <w:rPr>
          <w:rFonts w:hint="eastAsia" w:hAnsi="宋体" w:eastAsia="宋体" w:cs="仿宋"/>
          <w:sz w:val="24"/>
          <w:szCs w:val="24"/>
          <w:lang w:eastAsia="zh-CN"/>
        </w:rPr>
        <w:t>供应商</w:t>
      </w:r>
      <w:r>
        <w:rPr>
          <w:rFonts w:hint="eastAsia" w:hAnsi="宋体" w:eastAsia="宋体" w:cs="仿宋"/>
          <w:sz w:val="24"/>
          <w:szCs w:val="24"/>
        </w:rPr>
        <w:t>为中标候选人的评标方法</w:t>
      </w:r>
      <w:r>
        <w:rPr>
          <w:rFonts w:hint="eastAsia" w:hAnsi="宋体" w:eastAsia="宋体" w:cs="仿宋"/>
          <w:color w:val="000000" w:themeColor="text1"/>
          <w:sz w:val="24"/>
          <w:szCs w:val="24"/>
          <w14:textFill>
            <w14:solidFill>
              <w14:schemeClr w14:val="tx1"/>
            </w14:solidFill>
          </w14:textFill>
        </w:rPr>
        <w:t>。</w:t>
      </w:r>
    </w:p>
    <w:p>
      <w:pPr>
        <w:adjustRightInd w:val="0"/>
        <w:snapToGrid w:val="0"/>
        <w:spacing w:line="360"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60"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60" w:lineRule="auto"/>
        <w:jc w:val="both"/>
        <w:rPr>
          <w:rFonts w:ascii="宋体" w:hAnsi="宋体" w:cs="仿宋"/>
          <w:b/>
          <w:bCs/>
          <w:sz w:val="24"/>
        </w:rPr>
      </w:pPr>
      <w:r>
        <w:rPr>
          <w:rFonts w:hint="eastAsia" w:ascii="宋体" w:hAnsi="宋体" w:cs="仿宋"/>
          <w:b/>
          <w:bCs/>
          <w:sz w:val="24"/>
        </w:rPr>
        <w:t>1.4保密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60"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60"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60" w:lineRule="auto"/>
        <w:jc w:val="both"/>
        <w:rPr>
          <w:rFonts w:ascii="宋体" w:hAnsi="宋体" w:cs="仿宋"/>
          <w:b/>
          <w:bCs/>
          <w:sz w:val="24"/>
        </w:rPr>
      </w:pPr>
      <w:r>
        <w:rPr>
          <w:rFonts w:hint="eastAsia" w:ascii="宋体" w:hAnsi="宋体" w:cs="仿宋"/>
          <w:b/>
          <w:bCs/>
          <w:sz w:val="24"/>
        </w:rPr>
        <w:t>1.7踏勘现场（本项目组织踏勘现场）</w:t>
      </w:r>
    </w:p>
    <w:p>
      <w:pPr>
        <w:pStyle w:val="2"/>
        <w:spacing w:line="360" w:lineRule="auto"/>
        <w:rPr>
          <w:rFonts w:hAnsi="宋体" w:cs="仿宋"/>
          <w:snapToGrid/>
          <w:kern w:val="2"/>
          <w:szCs w:val="24"/>
        </w:rPr>
      </w:pPr>
      <w:r>
        <w:rPr>
          <w:rFonts w:hint="eastAsia" w:hAnsi="宋体" w:cs="仿宋"/>
          <w:snapToGrid/>
          <w:kern w:val="2"/>
          <w:szCs w:val="24"/>
        </w:rPr>
        <w:t>要求所有潜在供应商在截止开标前三天，安排技术人员到岳阳城陵矶新港有限公司现场踏勘，并由采购方出具相关踏勘证明文件，供应商须在响应文件中提交踏勘证明文件并加盖公章。</w:t>
      </w:r>
    </w:p>
    <w:p>
      <w:pPr>
        <w:adjustRightInd w:val="0"/>
        <w:snapToGrid w:val="0"/>
        <w:spacing w:line="360" w:lineRule="auto"/>
        <w:jc w:val="both"/>
        <w:rPr>
          <w:rFonts w:ascii="宋体" w:hAnsi="宋体" w:cs="仿宋"/>
          <w:b/>
          <w:bCs/>
          <w:sz w:val="24"/>
        </w:rPr>
      </w:pPr>
      <w:r>
        <w:rPr>
          <w:rFonts w:hint="eastAsia" w:ascii="宋体" w:hAnsi="宋体" w:cs="仿宋"/>
          <w:b/>
          <w:bCs/>
          <w:sz w:val="24"/>
        </w:rPr>
        <w:t>1.8采购预备会（本项目不组织采购预备会）</w:t>
      </w:r>
    </w:p>
    <w:p>
      <w:pPr>
        <w:adjustRightInd w:val="0"/>
        <w:snapToGrid w:val="0"/>
        <w:spacing w:line="360" w:lineRule="auto"/>
        <w:jc w:val="both"/>
        <w:rPr>
          <w:rFonts w:ascii="宋体" w:hAnsi="宋体" w:cs="仿宋"/>
          <w:b/>
          <w:bCs/>
          <w:sz w:val="24"/>
        </w:rPr>
      </w:pPr>
      <w:r>
        <w:rPr>
          <w:rFonts w:hint="eastAsia" w:ascii="宋体" w:hAnsi="宋体" w:cs="仿宋"/>
          <w:b/>
          <w:bCs/>
          <w:sz w:val="24"/>
        </w:rPr>
        <w:t>1.9分包(本项目不允许分包)</w:t>
      </w:r>
    </w:p>
    <w:p>
      <w:pPr>
        <w:adjustRightInd w:val="0"/>
        <w:snapToGrid w:val="0"/>
        <w:spacing w:line="360"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60"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60" w:lineRule="auto"/>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60"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60"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60"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60" w:lineRule="auto"/>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60" w:lineRule="auto"/>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60" w:lineRule="auto"/>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60" w:lineRule="auto"/>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60"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60"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60"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(1)响应函;</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(2)授权委托书(如有);</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(3)商务和技术偏差表;</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(4)报价表;</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(5)资格审查资料;</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(6)响应方案;</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60"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w:t>
      </w:r>
    </w:p>
    <w:p>
      <w:pPr>
        <w:adjustRightInd w:val="0"/>
        <w:snapToGrid w:val="0"/>
        <w:spacing w:line="360" w:lineRule="auto"/>
        <w:jc w:val="both"/>
        <w:rPr>
          <w:rFonts w:ascii="宋体" w:hAnsi="宋体" w:cs="仿宋"/>
          <w:b/>
          <w:bCs/>
          <w:sz w:val="24"/>
        </w:rPr>
      </w:pPr>
      <w:r>
        <w:rPr>
          <w:rFonts w:hint="eastAsia" w:ascii="宋体" w:hAnsi="宋体" w:cs="仿宋"/>
          <w:b/>
          <w:bCs/>
          <w:sz w:val="24"/>
        </w:rPr>
        <w:t>3.2报价</w:t>
      </w:r>
    </w:p>
    <w:p>
      <w:pPr>
        <w:adjustRightInd w:val="0"/>
        <w:snapToGrid w:val="0"/>
        <w:spacing w:line="360" w:lineRule="auto"/>
        <w:jc w:val="both"/>
        <w:rPr>
          <w:rFonts w:ascii="宋体" w:hAnsi="宋体" w:cs="仿宋"/>
          <w:sz w:val="24"/>
        </w:rPr>
      </w:pPr>
      <w:r>
        <w:rPr>
          <w:rFonts w:hint="eastAsia" w:ascii="宋体" w:hAnsi="宋体" w:cs="仿宋"/>
          <w:sz w:val="24"/>
        </w:rPr>
        <w:t>3.2.1供应商应按采购文件提供的格式(见第六章“响应文件格式”)在响应函和报价表中进行报价。响应函中报价应为包含国家规定的增值税在内的含税价格，采购人将根据项目情况，根据第三章“评审办法”中评审因素中“</w:t>
      </w:r>
      <w:r>
        <w:rPr>
          <w:rFonts w:hint="eastAsia" w:ascii="宋体" w:hAnsi="宋体" w:cs="宋体"/>
          <w:kern w:val="0"/>
          <w:sz w:val="24"/>
          <w:lang w:bidi="ar"/>
        </w:rPr>
        <w:t>投标价格”</w:t>
      </w:r>
      <w:r>
        <w:rPr>
          <w:rFonts w:ascii="宋体" w:hAnsi="宋体" w:cs="仿宋"/>
          <w:sz w:val="24"/>
        </w:rPr>
        <w:t>对供应商进行价格评审。</w:t>
      </w:r>
    </w:p>
    <w:p>
      <w:pPr>
        <w:adjustRightInd w:val="0"/>
        <w:snapToGrid w:val="0"/>
        <w:spacing w:line="360"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60"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60"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60"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60"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60" w:lineRule="auto"/>
        <w:jc w:val="both"/>
        <w:rPr>
          <w:rFonts w:ascii="宋体" w:hAnsi="宋体" w:cs="仿宋"/>
          <w:b/>
          <w:bCs/>
          <w:sz w:val="24"/>
        </w:rPr>
      </w:pPr>
      <w:r>
        <w:rPr>
          <w:rFonts w:hint="eastAsia" w:ascii="宋体" w:hAnsi="宋体" w:cs="仿宋"/>
          <w:b/>
          <w:bCs/>
          <w:sz w:val="24"/>
        </w:rPr>
        <w:t>3.4响应保证金（本项目不提交响应保证金）</w:t>
      </w:r>
    </w:p>
    <w:p>
      <w:pPr>
        <w:adjustRightInd w:val="0"/>
        <w:snapToGrid w:val="0"/>
        <w:spacing w:line="360"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60"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w:t>
      </w:r>
      <w:r>
        <w:rPr>
          <w:rFonts w:ascii="宋体" w:hAnsi="宋体" w:cs="仿宋"/>
          <w:sz w:val="24"/>
        </w:rPr>
        <w:t>.1</w:t>
      </w:r>
      <w:r>
        <w:rPr>
          <w:rFonts w:hint="eastAsia" w:ascii="宋体" w:hAnsi="宋体" w:cs="仿宋"/>
          <w:sz w:val="24"/>
        </w:rPr>
        <w:t>-3.5</w:t>
      </w:r>
      <w:r>
        <w:rPr>
          <w:rFonts w:ascii="宋体" w:hAnsi="宋体" w:cs="仿宋"/>
          <w:sz w:val="24"/>
        </w:rPr>
        <w:t>.6</w:t>
      </w:r>
      <w:r>
        <w:rPr>
          <w:rFonts w:hint="eastAsia" w:ascii="宋体" w:hAnsi="宋体" w:cs="仿宋"/>
          <w:sz w:val="24"/>
        </w:rPr>
        <w:t>中规定的资格审查资料，以证明其满足第一章“采购公告”对供应商的各项资格要求。</w:t>
      </w:r>
    </w:p>
    <w:p>
      <w:pPr>
        <w:adjustRightInd w:val="0"/>
        <w:snapToGrid w:val="0"/>
        <w:spacing w:line="360"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60"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60"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60"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60"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60"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60"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60"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60"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60"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w:t>
      </w:r>
      <w:r>
        <w:rPr>
          <w:rFonts w:hint="eastAsia" w:ascii="宋体" w:hAnsi="宋体" w:cs="仿宋"/>
          <w:sz w:val="24"/>
        </w:rPr>
        <w:t>一</w:t>
      </w:r>
      <w:r>
        <w:rPr>
          <w:rFonts w:ascii="宋体" w:hAnsi="宋体" w:cs="仿宋"/>
          <w:sz w:val="24"/>
        </w:rPr>
        <w:t>致，或电子版文件和纸质正本文件不一致时，以纸质正本文件为准。</w:t>
      </w:r>
    </w:p>
    <w:p>
      <w:pPr>
        <w:adjustRightInd w:val="0"/>
        <w:snapToGrid w:val="0"/>
        <w:spacing w:line="360"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60"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60"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60"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60"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60"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60"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60"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60"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60"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60"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60"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60"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60" w:lineRule="auto"/>
        <w:ind w:firstLine="453" w:firstLineChars="189"/>
        <w:jc w:val="both"/>
        <w:rPr>
          <w:rFonts w:ascii="宋体" w:hAnsi="宋体" w:cs="仿宋"/>
          <w:sz w:val="24"/>
        </w:rPr>
      </w:pPr>
      <w:r>
        <w:rPr>
          <w:rFonts w:hint="eastAsia" w:ascii="宋体" w:hAnsi="宋体" w:cs="仿宋"/>
          <w:bCs/>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60"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60" w:lineRule="auto"/>
        <w:ind w:firstLine="453" w:firstLineChars="189"/>
        <w:jc w:val="both"/>
        <w:rPr>
          <w:rFonts w:ascii="宋体" w:hAnsi="宋体" w:cs="仿宋"/>
          <w:color w:val="FF0000"/>
          <w:sz w:val="24"/>
        </w:rPr>
      </w:pPr>
      <w:r>
        <w:rPr>
          <w:rFonts w:hint="eastAsia" w:ascii="宋体" w:hAnsi="宋体" w:cs="仿宋"/>
          <w:sz w:val="24"/>
        </w:rPr>
        <w:t>采购人在本章第</w:t>
      </w:r>
      <w:r>
        <w:rPr>
          <w:rFonts w:ascii="宋体" w:hAnsi="宋体" w:cs="仿宋"/>
          <w:sz w:val="24"/>
        </w:rPr>
        <w:t>4.2.1项规定的递交响应文件的截止时间和地点公开开启响应文件，并邀请所有供应商的法定代表人(单位负责人)或其授权的代理人参加开启会议，供应商未派代表参加的，视为默认开启结果</w:t>
      </w:r>
      <w:r>
        <w:rPr>
          <w:rFonts w:hint="eastAsia" w:ascii="宋体" w:hAnsi="宋体" w:cs="仿宋"/>
          <w:sz w:val="24"/>
        </w:rPr>
        <w:t>。</w:t>
      </w:r>
    </w:p>
    <w:p>
      <w:pPr>
        <w:adjustRightInd w:val="0"/>
        <w:snapToGrid w:val="0"/>
        <w:spacing w:line="360"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spacing w:line="360" w:lineRule="auto"/>
        <w:ind w:firstLine="453" w:firstLineChars="189"/>
        <w:jc w:val="both"/>
      </w:pPr>
      <w:r>
        <w:rPr>
          <w:rFonts w:hint="eastAsia" w:ascii="宋体" w:hAnsi="宋体" w:cs="仿宋"/>
          <w:sz w:val="24"/>
        </w:rPr>
        <w:t>(2)开启会议结束。</w:t>
      </w:r>
    </w:p>
    <w:p>
      <w:pPr>
        <w:adjustRightInd w:val="0"/>
        <w:snapToGrid w:val="0"/>
        <w:spacing w:line="360" w:lineRule="auto"/>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60" w:lineRule="auto"/>
        <w:jc w:val="both"/>
        <w:rPr>
          <w:rFonts w:ascii="宋体" w:hAnsi="宋体" w:cs="仿宋"/>
          <w:b/>
          <w:bCs/>
          <w:sz w:val="24"/>
        </w:rPr>
      </w:pPr>
      <w:r>
        <w:rPr>
          <w:rFonts w:hint="eastAsia" w:ascii="宋体" w:hAnsi="宋体" w:cs="仿宋"/>
          <w:b/>
          <w:bCs/>
          <w:sz w:val="24"/>
        </w:rPr>
        <w:t>6评审</w:t>
      </w:r>
    </w:p>
    <w:p>
      <w:pPr>
        <w:adjustRightInd w:val="0"/>
        <w:snapToGrid w:val="0"/>
        <w:spacing w:line="360"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60"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60" w:lineRule="auto"/>
        <w:jc w:val="both"/>
        <w:rPr>
          <w:rFonts w:ascii="宋体" w:hAnsi="宋体" w:cs="仿宋"/>
          <w:sz w:val="24"/>
        </w:rPr>
      </w:pPr>
      <w:r>
        <w:rPr>
          <w:rFonts w:hint="eastAsia" w:ascii="宋体" w:hAnsi="宋体" w:cs="仿宋"/>
          <w:sz w:val="24"/>
        </w:rPr>
        <w:t>6.1.2评审小组成员有下列情形之的，应当回避:</w:t>
      </w:r>
    </w:p>
    <w:p>
      <w:pPr>
        <w:spacing w:line="360" w:lineRule="auto"/>
        <w:ind w:firstLine="480" w:firstLineChars="200"/>
        <w:jc w:val="both"/>
      </w:pPr>
      <w:r>
        <w:rPr>
          <w:rFonts w:hint="eastAsia" w:ascii="宋体" w:hAnsi="宋体" w:cs="仿宋"/>
          <w:sz w:val="24"/>
        </w:rPr>
        <w:t>（1）供应商主要负责人或供应商主要负责人的近亲属;</w:t>
      </w:r>
    </w:p>
    <w:p>
      <w:pPr>
        <w:adjustRightInd w:val="0"/>
        <w:snapToGrid w:val="0"/>
        <w:spacing w:line="360"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60"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60"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60" w:lineRule="auto"/>
        <w:jc w:val="both"/>
        <w:rPr>
          <w:rFonts w:ascii="宋体" w:hAnsi="宋体" w:cs="仿宋"/>
          <w:b/>
          <w:bCs/>
          <w:sz w:val="24"/>
        </w:rPr>
      </w:pPr>
      <w:r>
        <w:rPr>
          <w:rFonts w:hint="eastAsia" w:ascii="宋体" w:hAnsi="宋体" w:cs="仿宋"/>
          <w:b/>
          <w:bCs/>
          <w:sz w:val="24"/>
        </w:rPr>
        <w:t>6.2评审</w:t>
      </w:r>
    </w:p>
    <w:p>
      <w:pPr>
        <w:adjustRightInd w:val="0"/>
        <w:snapToGrid w:val="0"/>
        <w:spacing w:line="360"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60"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60" w:lineRule="auto"/>
        <w:jc w:val="both"/>
        <w:rPr>
          <w:rFonts w:ascii="宋体" w:hAnsi="宋体" w:cs="仿宋"/>
          <w:b/>
          <w:bCs/>
          <w:sz w:val="24"/>
        </w:rPr>
      </w:pPr>
      <w:r>
        <w:rPr>
          <w:rFonts w:hint="eastAsia" w:ascii="宋体" w:hAnsi="宋体" w:cs="仿宋"/>
          <w:b/>
          <w:bCs/>
          <w:sz w:val="24"/>
        </w:rPr>
        <w:t>7.1成交候选供应商报价核查</w:t>
      </w:r>
    </w:p>
    <w:p>
      <w:pPr>
        <w:widowControl w:val="0"/>
        <w:adjustRightInd w:val="0"/>
        <w:snapToGrid w:val="0"/>
        <w:spacing w:line="360"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60"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60"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60" w:lineRule="auto"/>
        <w:jc w:val="both"/>
        <w:rPr>
          <w:rFonts w:ascii="宋体" w:hAnsi="宋体" w:cs="宋体"/>
          <w:b/>
          <w:bCs/>
          <w:sz w:val="24"/>
        </w:rPr>
      </w:pPr>
      <w:bookmarkStart w:id="12" w:name="_Toc24135"/>
      <w:r>
        <w:rPr>
          <w:rFonts w:hint="eastAsia" w:ascii="宋体" w:hAnsi="宋体" w:cs="宋体"/>
          <w:b/>
          <w:bCs/>
          <w:sz w:val="24"/>
        </w:rPr>
        <w:t>7.3成交结果异议</w:t>
      </w:r>
      <w:bookmarkEnd w:id="12"/>
      <w:r>
        <w:rPr>
          <w:rFonts w:hint="eastAsia" w:ascii="宋体" w:hAnsi="宋体" w:cs="宋体"/>
          <w:b/>
          <w:bCs/>
          <w:sz w:val="24"/>
        </w:rPr>
        <w:t xml:space="preserve"> </w:t>
      </w:r>
    </w:p>
    <w:p>
      <w:pPr>
        <w:adjustRightInd w:val="0"/>
        <w:snapToGrid w:val="0"/>
        <w:spacing w:line="360"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60" w:lineRule="auto"/>
        <w:jc w:val="both"/>
        <w:rPr>
          <w:rFonts w:ascii="宋体" w:hAnsi="宋体" w:cs="仿宋"/>
          <w:b/>
          <w:bCs/>
          <w:sz w:val="24"/>
        </w:rPr>
      </w:pPr>
      <w:r>
        <w:rPr>
          <w:rFonts w:hint="eastAsia" w:ascii="宋体" w:hAnsi="宋体" w:cs="仿宋"/>
          <w:b/>
          <w:bCs/>
          <w:sz w:val="24"/>
        </w:rPr>
        <w:t>7.4成交候选供应商履约能力核查</w:t>
      </w:r>
    </w:p>
    <w:p>
      <w:pPr>
        <w:spacing w:line="360"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60"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7.6履约保证金（本项目不提交履约保证金）</w:t>
      </w:r>
    </w:p>
    <w:p>
      <w:pPr>
        <w:adjustRightInd w:val="0"/>
        <w:snapToGrid w:val="0"/>
        <w:spacing w:line="360"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60"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60"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60"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r>
        <w:rPr>
          <w:rFonts w:ascii="宋体" w:hAnsi="宋体" w:cs="仿宋"/>
          <w:sz w:val="24"/>
        </w:rPr>
        <w:t xml:space="preserve"> </w:t>
      </w:r>
    </w:p>
    <w:p>
      <w:pPr>
        <w:adjustRightInd w:val="0"/>
        <w:snapToGrid w:val="0"/>
        <w:spacing w:line="360"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60" w:lineRule="auto"/>
        <w:jc w:val="both"/>
        <w:rPr>
          <w:rFonts w:ascii="宋体" w:hAnsi="宋体" w:cs="仿宋"/>
          <w:b/>
          <w:bCs/>
          <w:sz w:val="24"/>
        </w:rPr>
      </w:pPr>
      <w:r>
        <w:rPr>
          <w:rFonts w:hint="eastAsia" w:ascii="宋体" w:hAnsi="宋体" w:cs="仿宋"/>
          <w:b/>
          <w:bCs/>
          <w:sz w:val="24"/>
        </w:rPr>
        <w:t>8异议</w:t>
      </w:r>
    </w:p>
    <w:p>
      <w:pPr>
        <w:adjustRightInd w:val="0"/>
        <w:snapToGrid w:val="0"/>
        <w:spacing w:line="360"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60"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60"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60"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60"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60"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60"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60"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60" w:lineRule="auto"/>
        <w:jc w:val="both"/>
        <w:rPr>
          <w:rFonts w:ascii="宋体" w:hAnsi="宋体" w:cs="仿宋"/>
          <w:b/>
          <w:bCs/>
          <w:sz w:val="24"/>
        </w:rPr>
      </w:pPr>
      <w:r>
        <w:rPr>
          <w:rFonts w:hint="eastAsia" w:ascii="宋体" w:hAnsi="宋体" w:cs="仿宋"/>
          <w:b/>
          <w:bCs/>
          <w:sz w:val="24"/>
        </w:rPr>
        <w:t>10.1其他</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60" w:lineRule="auto"/>
        <w:jc w:val="both"/>
        <w:rPr>
          <w:rFonts w:ascii="宋体" w:hAnsi="宋体" w:cs="仿宋"/>
          <w:sz w:val="24"/>
        </w:rPr>
      </w:pPr>
    </w:p>
    <w:p>
      <w:pPr>
        <w:adjustRightInd w:val="0"/>
        <w:snapToGrid w:val="0"/>
        <w:spacing w:line="360" w:lineRule="auto"/>
        <w:ind w:firstLine="453" w:firstLineChars="189"/>
        <w:jc w:val="both"/>
        <w:rPr>
          <w:rFonts w:ascii="宋体" w:hAnsi="宋体" w:cs="仿宋"/>
          <w:sz w:val="24"/>
        </w:rPr>
      </w:pPr>
    </w:p>
    <w:p>
      <w:pPr>
        <w:spacing w:line="360" w:lineRule="auto"/>
        <w:jc w:val="both"/>
        <w:rPr>
          <w:rFonts w:ascii="宋体" w:hAnsi="宋体" w:cs="仿宋"/>
          <w:sz w:val="24"/>
        </w:rPr>
      </w:pPr>
      <w:r>
        <w:rPr>
          <w:rFonts w:hint="eastAsia" w:ascii="宋体" w:hAnsi="宋体" w:cs="仿宋"/>
          <w:sz w:val="24"/>
        </w:rPr>
        <w:br w:type="page"/>
      </w:r>
    </w:p>
    <w:p>
      <w:pPr>
        <w:spacing w:line="360" w:lineRule="auto"/>
        <w:jc w:val="both"/>
        <w:rPr>
          <w:rFonts w:ascii="宋体" w:hAnsi="宋体" w:cs="仿宋"/>
          <w:sz w:val="30"/>
          <w:szCs w:val="30"/>
        </w:rPr>
      </w:pPr>
      <w:r>
        <w:rPr>
          <w:rFonts w:hint="eastAsia" w:ascii="宋体" w:hAnsi="宋体" w:cs="仿宋"/>
          <w:sz w:val="30"/>
          <w:szCs w:val="30"/>
        </w:rPr>
        <w:t>附件1  开启记录表</w:t>
      </w:r>
    </w:p>
    <w:p>
      <w:pPr>
        <w:adjustRightInd w:val="0"/>
        <w:snapToGrid w:val="0"/>
        <w:spacing w:line="360" w:lineRule="auto"/>
        <w:ind w:firstLine="723" w:firstLineChars="200"/>
        <w:jc w:val="center"/>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360" w:lineRule="auto"/>
        <w:ind w:firstLine="723" w:firstLineChars="200"/>
        <w:jc w:val="center"/>
        <w:rPr>
          <w:rFonts w:ascii="华文中宋" w:hAnsi="华文中宋" w:eastAsia="华文中宋" w:cs="仿宋"/>
          <w:b/>
          <w:bCs/>
          <w:sz w:val="36"/>
          <w:szCs w:val="36"/>
        </w:rPr>
      </w:pPr>
    </w:p>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40"/>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p>
    <w:p>
      <w:pPr>
        <w:spacing w:line="36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360" w:lineRule="auto"/>
        <w:jc w:val="both"/>
        <w:rPr>
          <w:rFonts w:cs="仿宋" w:asciiTheme="minorEastAsia" w:hAnsiTheme="minorEastAsia" w:eastAsiaTheme="minorEastAsia"/>
          <w:sz w:val="24"/>
        </w:rPr>
      </w:pPr>
    </w:p>
    <w:p>
      <w:pPr>
        <w:adjustRightInd w:val="0"/>
        <w:snapToGrid w:val="0"/>
        <w:spacing w:line="360" w:lineRule="auto"/>
        <w:ind w:firstLine="567" w:firstLineChars="189"/>
        <w:rPr>
          <w:rFonts w:ascii="宋体" w:hAnsi="宋体" w:cs="仿宋"/>
          <w:sz w:val="30"/>
          <w:szCs w:val="30"/>
        </w:rPr>
      </w:pPr>
    </w:p>
    <w:p>
      <w:pPr>
        <w:adjustRightInd w:val="0"/>
        <w:snapToGrid w:val="0"/>
        <w:spacing w:line="360" w:lineRule="auto"/>
        <w:ind w:firstLine="567" w:firstLineChars="189"/>
        <w:rPr>
          <w:rFonts w:ascii="宋体" w:hAnsi="宋体" w:cs="仿宋"/>
          <w:sz w:val="30"/>
          <w:szCs w:val="30"/>
        </w:rPr>
      </w:pPr>
    </w:p>
    <w:p>
      <w:pPr>
        <w:adjustRightInd w:val="0"/>
        <w:snapToGrid w:val="0"/>
        <w:spacing w:line="360" w:lineRule="auto"/>
        <w:ind w:firstLine="567" w:firstLineChars="189"/>
        <w:rPr>
          <w:rFonts w:ascii="宋体" w:hAnsi="宋体" w:cs="仿宋"/>
          <w:sz w:val="30"/>
          <w:szCs w:val="30"/>
        </w:rPr>
      </w:pPr>
    </w:p>
    <w:p>
      <w:pPr>
        <w:adjustRightInd w:val="0"/>
        <w:snapToGrid w:val="0"/>
        <w:spacing w:line="360" w:lineRule="auto"/>
        <w:ind w:firstLine="567" w:firstLineChars="189"/>
        <w:rPr>
          <w:rFonts w:ascii="宋体" w:hAnsi="宋体" w:cs="仿宋"/>
          <w:sz w:val="30"/>
          <w:szCs w:val="30"/>
        </w:rPr>
      </w:pPr>
    </w:p>
    <w:p>
      <w:pPr>
        <w:adjustRightInd w:val="0"/>
        <w:snapToGrid w:val="0"/>
        <w:spacing w:line="360" w:lineRule="auto"/>
        <w:ind w:firstLine="567" w:firstLineChars="189"/>
        <w:rPr>
          <w:rFonts w:ascii="宋体" w:hAnsi="宋体" w:cs="仿宋"/>
          <w:sz w:val="30"/>
          <w:szCs w:val="30"/>
        </w:rPr>
      </w:pPr>
    </w:p>
    <w:p>
      <w:pPr>
        <w:adjustRightInd w:val="0"/>
        <w:snapToGrid w:val="0"/>
        <w:spacing w:line="360" w:lineRule="auto"/>
        <w:ind w:firstLine="567" w:firstLineChars="189"/>
        <w:rPr>
          <w:rFonts w:ascii="宋体" w:hAnsi="宋体" w:cs="仿宋"/>
          <w:sz w:val="30"/>
          <w:szCs w:val="30"/>
        </w:rPr>
      </w:pPr>
    </w:p>
    <w:p>
      <w:pPr>
        <w:adjustRightInd w:val="0"/>
        <w:snapToGrid w:val="0"/>
        <w:spacing w:line="360" w:lineRule="auto"/>
        <w:ind w:firstLine="567" w:firstLineChars="189"/>
        <w:rPr>
          <w:rFonts w:ascii="宋体" w:hAnsi="宋体" w:cs="仿宋"/>
          <w:sz w:val="30"/>
          <w:szCs w:val="30"/>
        </w:rPr>
      </w:pPr>
    </w:p>
    <w:p>
      <w:pPr>
        <w:adjustRightInd w:val="0"/>
        <w:snapToGrid w:val="0"/>
        <w:spacing w:line="360" w:lineRule="auto"/>
        <w:ind w:firstLine="567" w:firstLineChars="189"/>
        <w:rPr>
          <w:rFonts w:ascii="宋体" w:hAnsi="宋体" w:cs="仿宋"/>
          <w:sz w:val="30"/>
          <w:szCs w:val="30"/>
        </w:rPr>
      </w:pPr>
    </w:p>
    <w:p>
      <w:pPr>
        <w:adjustRightInd w:val="0"/>
        <w:snapToGrid w:val="0"/>
        <w:spacing w:line="360" w:lineRule="auto"/>
        <w:ind w:firstLine="567" w:firstLineChars="189"/>
        <w:rPr>
          <w:rFonts w:ascii="宋体" w:hAnsi="宋体" w:cs="仿宋"/>
          <w:sz w:val="30"/>
          <w:szCs w:val="30"/>
        </w:rPr>
      </w:pPr>
    </w:p>
    <w:p>
      <w:pPr>
        <w:adjustRightInd w:val="0"/>
        <w:snapToGrid w:val="0"/>
        <w:spacing w:line="360" w:lineRule="auto"/>
        <w:ind w:firstLine="567" w:firstLineChars="189"/>
        <w:rPr>
          <w:rFonts w:ascii="宋体" w:hAnsi="宋体" w:cs="仿宋"/>
          <w:sz w:val="30"/>
          <w:szCs w:val="30"/>
        </w:rPr>
      </w:pPr>
    </w:p>
    <w:p>
      <w:pPr>
        <w:adjustRightInd w:val="0"/>
        <w:snapToGrid w:val="0"/>
        <w:spacing w:line="360" w:lineRule="auto"/>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360" w:lineRule="auto"/>
        <w:ind w:firstLine="723" w:firstLineChars="200"/>
        <w:jc w:val="center"/>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360" w:lineRule="auto"/>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360" w:lineRule="auto"/>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360" w:lineRule="auto"/>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360" w:lineRule="auto"/>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360" w:lineRule="auto"/>
        <w:ind w:left="141" w:leftChars="67" w:firstLine="566" w:firstLineChars="236"/>
        <w:jc w:val="both"/>
        <w:rPr>
          <w:rFonts w:ascii="宋体" w:hAnsi="宋体" w:cs="仿宋"/>
          <w:sz w:val="24"/>
        </w:rPr>
      </w:pPr>
    </w:p>
    <w:p>
      <w:pPr>
        <w:adjustRightInd w:val="0"/>
        <w:snapToGrid w:val="0"/>
        <w:spacing w:line="360" w:lineRule="auto"/>
        <w:ind w:left="210" w:leftChars="100" w:firstLine="240" w:firstLineChars="100"/>
        <w:jc w:val="both"/>
        <w:rPr>
          <w:rFonts w:ascii="宋体" w:hAnsi="宋体" w:cs="仿宋"/>
          <w:sz w:val="24"/>
        </w:rPr>
      </w:pPr>
    </w:p>
    <w:p>
      <w:pPr>
        <w:adjustRightInd w:val="0"/>
        <w:snapToGrid w:val="0"/>
        <w:spacing w:line="360" w:lineRule="auto"/>
        <w:ind w:left="210" w:leftChars="100" w:firstLine="240" w:firstLineChars="100"/>
        <w:jc w:val="both"/>
        <w:rPr>
          <w:rFonts w:ascii="宋体" w:hAnsi="宋体" w:cs="仿宋"/>
          <w:sz w:val="24"/>
        </w:rPr>
      </w:pPr>
    </w:p>
    <w:p>
      <w:pPr>
        <w:adjustRightInd w:val="0"/>
        <w:snapToGrid w:val="0"/>
        <w:spacing w:line="360" w:lineRule="auto"/>
        <w:jc w:val="right"/>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360" w:lineRule="auto"/>
        <w:jc w:val="right"/>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附件3  问题的澄清</w:t>
      </w:r>
    </w:p>
    <w:p>
      <w:pPr>
        <w:adjustRightInd w:val="0"/>
        <w:snapToGrid w:val="0"/>
        <w:spacing w:line="360" w:lineRule="auto"/>
        <w:jc w:val="center"/>
        <w:rPr>
          <w:rFonts w:ascii="华文中宋" w:hAnsi="华文中宋" w:eastAsia="华文中宋" w:cs="仿宋"/>
          <w:b/>
          <w:bCs/>
          <w:sz w:val="36"/>
          <w:szCs w:val="36"/>
        </w:rPr>
      </w:pPr>
    </w:p>
    <w:p>
      <w:pPr>
        <w:adjustRightInd w:val="0"/>
        <w:snapToGrid w:val="0"/>
        <w:spacing w:line="360" w:lineRule="auto"/>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360" w:lineRule="auto"/>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360" w:lineRule="auto"/>
        <w:jc w:val="both"/>
        <w:rPr>
          <w:rFonts w:ascii="宋体" w:hAnsi="宋体" w:cs="仿宋"/>
          <w:sz w:val="24"/>
        </w:rPr>
      </w:pPr>
      <w:r>
        <w:rPr>
          <w:rFonts w:hint="eastAsia" w:ascii="宋体" w:hAnsi="宋体" w:cs="仿宋"/>
          <w:sz w:val="24"/>
        </w:rPr>
        <w:t>评审小组:</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1.</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2.</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360" w:lineRule="auto"/>
        <w:ind w:firstLine="530" w:firstLineChars="221"/>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360" w:lineRule="auto"/>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360" w:lineRule="auto"/>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360" w:lineRule="auto"/>
        <w:jc w:val="center"/>
        <w:rPr>
          <w:rFonts w:ascii="华文中宋" w:hAnsi="华文中宋" w:eastAsia="华文中宋" w:cs="仿宋"/>
          <w:b/>
          <w:bCs/>
          <w:sz w:val="36"/>
          <w:szCs w:val="36"/>
        </w:rPr>
      </w:pPr>
    </w:p>
    <w:p>
      <w:pPr>
        <w:adjustRightInd w:val="0"/>
        <w:snapToGrid w:val="0"/>
        <w:spacing w:line="360" w:lineRule="auto"/>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360" w:lineRule="auto"/>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360" w:lineRule="auto"/>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360" w:lineRule="auto"/>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w:t>
      </w:r>
    </w:p>
    <w:p>
      <w:pPr>
        <w:adjustRightInd w:val="0"/>
        <w:snapToGrid w:val="0"/>
        <w:spacing w:line="360" w:lineRule="auto"/>
        <w:rPr>
          <w:rFonts w:ascii="宋体" w:hAnsi="宋体" w:cs="仿宋"/>
          <w:sz w:val="24"/>
        </w:rPr>
      </w:pPr>
      <w:r>
        <w:rPr>
          <w:rFonts w:hint="eastAsia" w:ascii="宋体" w:hAnsi="宋体" w:cs="仿宋"/>
          <w:sz w:val="24"/>
        </w:rPr>
        <w:t>特此通知。</w:t>
      </w: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jc w:val="right"/>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360" w:lineRule="auto"/>
        <w:jc w:val="right"/>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pStyle w:val="2"/>
        <w:spacing w:line="360" w:lineRule="auto"/>
        <w:ind w:firstLine="0"/>
        <w:rPr>
          <w:rFonts w:hAnsi="宋体" w:cs="仿宋"/>
        </w:rPr>
      </w:pP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ind w:firstLine="480" w:firstLineChars="200"/>
        <w:jc w:val="both"/>
        <w:rPr>
          <w:rFonts w:ascii="宋体" w:hAnsi="宋体" w:cs="仿宋"/>
          <w:b/>
          <w:bCs/>
          <w:sz w:val="24"/>
        </w:rPr>
      </w:pPr>
      <w:r>
        <w:rPr>
          <w:rFonts w:hint="eastAsia" w:ascii="宋体" w:hAnsi="宋体" w:cs="仿宋"/>
          <w:sz w:val="24"/>
          <w:u w:val="single"/>
        </w:rPr>
        <w:t>（采购人或采购代理机构名称)</w:t>
      </w:r>
      <w:r>
        <w:rPr>
          <w:rFonts w:hint="eastAsia" w:ascii="宋体" w:hAnsi="宋体" w:cs="仿宋"/>
          <w:sz w:val="24"/>
        </w:rPr>
        <w:t>:</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77"/>
        <w:adjustRightInd w:val="0"/>
        <w:snapToGrid w:val="0"/>
        <w:spacing w:line="360" w:lineRule="auto"/>
        <w:ind w:firstLine="6240" w:firstLineChars="2600"/>
        <w:jc w:val="center"/>
        <w:rPr>
          <w:rFonts w:cs="仿宋"/>
        </w:rPr>
      </w:pP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rPr>
        <w:t>日</w:t>
      </w:r>
      <w:r>
        <w:rPr>
          <w:rFonts w:hint="eastAsia" w:cs="仿宋"/>
        </w:rPr>
        <w:br w:type="page"/>
      </w:r>
    </w:p>
    <w:p>
      <w:pPr>
        <w:pStyle w:val="77"/>
        <w:numPr>
          <w:ilvl w:val="255"/>
          <w:numId w:val="0"/>
        </w:numPr>
        <w:spacing w:line="360" w:lineRule="auto"/>
        <w:jc w:val="center"/>
        <w:outlineLvl w:val="0"/>
        <w:rPr>
          <w:rFonts w:ascii="黑体" w:hAnsi="黑体" w:eastAsia="黑体" w:cs="仿宋"/>
          <w:b/>
          <w:color w:val="000000"/>
          <w:sz w:val="44"/>
          <w:szCs w:val="44"/>
        </w:rPr>
      </w:pPr>
      <w:bookmarkStart w:id="13" w:name="_Toc2458"/>
      <w:r>
        <w:rPr>
          <w:rFonts w:hint="eastAsia" w:ascii="黑体" w:hAnsi="黑体" w:eastAsia="黑体" w:cs="仿宋"/>
          <w:b/>
          <w:color w:val="000000"/>
          <w:sz w:val="44"/>
          <w:szCs w:val="44"/>
        </w:rPr>
        <w:t>第三章  评审办法</w:t>
      </w:r>
      <w:bookmarkEnd w:id="13"/>
    </w:p>
    <w:p>
      <w:pPr>
        <w:adjustRightInd w:val="0"/>
        <w:snapToGrid w:val="0"/>
        <w:spacing w:before="120" w:beforeLines="50" w:after="120" w:afterLines="50" w:line="360"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40"/>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09"/>
        <w:gridCol w:w="1984"/>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80"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529"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709"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529" w:type="dxa"/>
          </w:tcPr>
          <w:p>
            <w:pPr>
              <w:widowControl/>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exact"/>
          <w:jc w:val="center"/>
        </w:trPr>
        <w:tc>
          <w:tcPr>
            <w:tcW w:w="1271" w:type="dxa"/>
            <w:vMerge w:val="restart"/>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709" w:type="dxa"/>
            <w:vMerge w:val="restart"/>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5529" w:type="dxa"/>
          </w:tcPr>
          <w:p>
            <w:pPr>
              <w:widowControl w:val="0"/>
              <w:adjustRightInd w:val="0"/>
              <w:spacing w:line="360" w:lineRule="auto"/>
              <w:jc w:val="left"/>
              <w:textAlignment w:val="center"/>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与营业执照、资质证书一致；</w:t>
            </w:r>
          </w:p>
          <w:p>
            <w:pPr>
              <w:widowControl/>
              <w:adjustRightInd w:val="0"/>
              <w:snapToGrid w:val="0"/>
              <w:spacing w:line="360" w:lineRule="auto"/>
              <w:jc w:val="both"/>
              <w:textAlignment w:val="center"/>
              <w:rPr>
                <w:rFonts w:cs="仿宋" w:asciiTheme="minorEastAsia" w:hAnsiTheme="minorEastAsia" w:eastAsiaTheme="minorEastAsia"/>
                <w:szCs w:val="21"/>
              </w:rPr>
            </w:pPr>
            <w:r>
              <w:rPr>
                <w:rFonts w:ascii="宋体" w:hAnsi="宋体"/>
                <w:color w:val="000000"/>
                <w:szCs w:val="21"/>
              </w:rPr>
              <w:t>2</w:t>
            </w:r>
            <w:r>
              <w:rPr>
                <w:rFonts w:hint="eastAsia" w:ascii="宋体" w:hAnsi="宋体"/>
                <w:color w:val="000000"/>
                <w:szCs w:val="21"/>
              </w:rPr>
              <w:t>.</w:t>
            </w:r>
            <w:r>
              <w:rPr>
                <w:rFonts w:ascii="宋体" w:hAnsi="宋体"/>
                <w:color w:val="000000"/>
                <w:szCs w:val="21"/>
              </w:rPr>
              <w:t>若法人名称发生变更，应提供相关部门的合法批件及企业法人营业执照和资质证书的副本变更记录复印件。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709"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529"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709"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响应函中实质性内容</w:t>
            </w:r>
          </w:p>
        </w:tc>
        <w:tc>
          <w:tcPr>
            <w:tcW w:w="5529"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1" w:type="dxa"/>
            <w:vMerge w:val="restart"/>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709" w:type="dxa"/>
            <w:vMerge w:val="restart"/>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529" w:type="dxa"/>
          </w:tcPr>
          <w:p>
            <w:pPr>
              <w:widowControl/>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w:t>
            </w:r>
            <w:r>
              <w:rPr>
                <w:rFonts w:hint="eastAsia" w:ascii="宋体" w:hAnsi="宋体" w:cs="宋体"/>
                <w:szCs w:val="21"/>
              </w:rPr>
              <w:t>3.5.</w:t>
            </w:r>
            <w:r>
              <w:rPr>
                <w:rFonts w:ascii="宋体" w:hAnsi="宋体" w:cs="宋体"/>
                <w:szCs w:val="21"/>
              </w:rPr>
              <w:t>1</w:t>
            </w:r>
            <w:r>
              <w:rPr>
                <w:rFonts w:hint="eastAsia" w:cs="仿宋" w:asciiTheme="minorEastAsia" w:hAnsiTheme="minorEastAsia" w:eastAsiaTheme="minorEastAsia"/>
                <w:szCs w:val="21"/>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1"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709"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信誉要求</w:t>
            </w:r>
          </w:p>
        </w:tc>
        <w:tc>
          <w:tcPr>
            <w:tcW w:w="5529" w:type="dxa"/>
          </w:tcPr>
          <w:p>
            <w:pPr>
              <w:widowControl/>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w:t>
            </w:r>
            <w:r>
              <w:rPr>
                <w:rFonts w:hint="eastAsia" w:ascii="宋体" w:hAnsi="宋体" w:cs="宋体"/>
                <w:szCs w:val="21"/>
              </w:rPr>
              <w:t>3.5.</w:t>
            </w:r>
            <w:r>
              <w:rPr>
                <w:rFonts w:ascii="宋体" w:hAnsi="宋体" w:cs="宋体"/>
                <w:szCs w:val="21"/>
              </w:rPr>
              <w:t>6</w:t>
            </w:r>
            <w:r>
              <w:rPr>
                <w:rFonts w:hint="eastAsia" w:cs="仿宋" w:asciiTheme="minorEastAsia" w:hAnsiTheme="minorEastAsia" w:eastAsiaTheme="minorEastAsia"/>
                <w:szCs w:val="21"/>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71" w:type="dxa"/>
            <w:vMerge w:val="restart"/>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709" w:type="dxa"/>
            <w:vMerge w:val="restart"/>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529"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709"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529"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71"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709"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529"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71"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709"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质量标准</w:t>
            </w:r>
          </w:p>
        </w:tc>
        <w:tc>
          <w:tcPr>
            <w:tcW w:w="5529"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71"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709"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5529"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71"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709"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合同条款</w:t>
            </w:r>
          </w:p>
        </w:tc>
        <w:tc>
          <w:tcPr>
            <w:tcW w:w="5529"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709"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529"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71"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2693"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5529"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93" w:type="dxa"/>
            <w:gridSpan w:val="4"/>
          </w:tcPr>
          <w:p>
            <w:pPr>
              <w:widowControl/>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3.1</w:t>
            </w: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分值构成</w:t>
            </w:r>
          </w:p>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（总分100分）</w:t>
            </w:r>
          </w:p>
        </w:tc>
        <w:tc>
          <w:tcPr>
            <w:tcW w:w="5529" w:type="dxa"/>
          </w:tcPr>
          <w:p>
            <w:pPr>
              <w:widowControl/>
              <w:numPr>
                <w:ilvl w:val="0"/>
                <w:numId w:val="2"/>
              </w:numPr>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商务部分：</w:t>
            </w:r>
            <w:r>
              <w:rPr>
                <w:rFonts w:hint="eastAsia" w:cs="仿宋" w:asciiTheme="minorEastAsia" w:hAnsiTheme="minorEastAsia" w:eastAsiaTheme="minorEastAsia"/>
                <w:szCs w:val="21"/>
                <w:u w:val="single"/>
              </w:rPr>
              <w:t xml:space="preserve"> 20 </w:t>
            </w:r>
            <w:r>
              <w:rPr>
                <w:rFonts w:hint="eastAsia" w:cs="仿宋" w:asciiTheme="minorEastAsia" w:hAnsiTheme="minorEastAsia" w:eastAsiaTheme="minorEastAsia"/>
                <w:szCs w:val="21"/>
              </w:rPr>
              <w:t>分</w:t>
            </w:r>
          </w:p>
          <w:p>
            <w:pPr>
              <w:widowControl/>
              <w:numPr>
                <w:ilvl w:val="0"/>
                <w:numId w:val="2"/>
              </w:numPr>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技术部分：</w:t>
            </w:r>
            <w:r>
              <w:rPr>
                <w:rFonts w:hint="eastAsia" w:cs="仿宋" w:asciiTheme="minorEastAsia" w:hAnsiTheme="minorEastAsia" w:eastAsiaTheme="minorEastAsia"/>
                <w:szCs w:val="21"/>
                <w:u w:val="single"/>
              </w:rPr>
              <w:t xml:space="preserve"> </w:t>
            </w:r>
            <w:r>
              <w:rPr>
                <w:rFonts w:cs="仿宋" w:asciiTheme="minorEastAsia" w:hAnsiTheme="minorEastAsia" w:eastAsiaTheme="minorEastAsia"/>
                <w:szCs w:val="21"/>
                <w:u w:val="single"/>
              </w:rPr>
              <w:t>4</w:t>
            </w:r>
            <w:r>
              <w:rPr>
                <w:rFonts w:hint="eastAsia" w:cs="仿宋" w:asciiTheme="minorEastAsia" w:hAnsiTheme="minorEastAsia" w:eastAsiaTheme="minorEastAsia"/>
                <w:szCs w:val="21"/>
                <w:u w:val="single"/>
              </w:rPr>
              <w:t xml:space="preserve">0 </w:t>
            </w:r>
            <w:r>
              <w:rPr>
                <w:rFonts w:hint="eastAsia" w:cs="仿宋" w:asciiTheme="minorEastAsia" w:hAnsiTheme="minorEastAsia" w:eastAsiaTheme="minorEastAsia"/>
                <w:szCs w:val="21"/>
              </w:rPr>
              <w:t>分</w:t>
            </w:r>
          </w:p>
          <w:p>
            <w:pPr>
              <w:widowControl/>
              <w:numPr>
                <w:ilvl w:val="0"/>
                <w:numId w:val="2"/>
              </w:numPr>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报价部分：</w:t>
            </w:r>
            <w:r>
              <w:rPr>
                <w:rFonts w:hint="eastAsia" w:cs="仿宋" w:asciiTheme="minorEastAsia" w:hAnsiTheme="minorEastAsia" w:eastAsiaTheme="minorEastAsia"/>
                <w:szCs w:val="21"/>
                <w:u w:val="single"/>
              </w:rPr>
              <w:t xml:space="preserve"> </w:t>
            </w:r>
            <w:r>
              <w:rPr>
                <w:rFonts w:cs="仿宋" w:asciiTheme="minorEastAsia" w:hAnsiTheme="minorEastAsia" w:eastAsiaTheme="minorEastAsia"/>
                <w:szCs w:val="21"/>
                <w:u w:val="single"/>
              </w:rPr>
              <w:t>4</w:t>
            </w:r>
            <w:r>
              <w:rPr>
                <w:rFonts w:hint="eastAsia" w:cs="仿宋" w:asciiTheme="minorEastAsia" w:hAnsiTheme="minorEastAsia" w:eastAsiaTheme="minorEastAsia"/>
                <w:szCs w:val="21"/>
                <w:u w:val="single"/>
              </w:rPr>
              <w:t xml:space="preserve">0 </w:t>
            </w:r>
            <w:r>
              <w:rPr>
                <w:rFonts w:hint="eastAsia" w:cs="仿宋"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3.2（2）</w:t>
            </w:r>
          </w:p>
        </w:tc>
        <w:tc>
          <w:tcPr>
            <w:tcW w:w="198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评审基准价计算方法</w:t>
            </w:r>
          </w:p>
        </w:tc>
        <w:tc>
          <w:tcPr>
            <w:tcW w:w="5529" w:type="dxa"/>
          </w:tcPr>
          <w:p>
            <w:pPr>
              <w:widowControl/>
              <w:adjustRightInd w:val="0"/>
              <w:snapToGrid w:val="0"/>
              <w:spacing w:line="360" w:lineRule="auto"/>
              <w:ind w:firstLine="420" w:firstLineChars="200"/>
              <w:jc w:val="both"/>
              <w:textAlignment w:val="center"/>
              <w:rPr>
                <w:rFonts w:cs="仿宋" w:asciiTheme="minorEastAsia" w:hAnsiTheme="minorEastAsia" w:eastAsiaTheme="minorEastAsia"/>
                <w:szCs w:val="21"/>
              </w:rPr>
            </w:pPr>
            <w:r>
              <w:rPr>
                <w:rFonts w:hint="eastAsia" w:ascii="宋体" w:hAnsi="宋体" w:cs="仿宋"/>
                <w:kern w:val="0"/>
                <w:sz w:val="21"/>
                <w:szCs w:val="21"/>
              </w:rPr>
              <w:t>满足</w:t>
            </w:r>
            <w:r>
              <w:rPr>
                <w:rFonts w:hint="eastAsia" w:ascii="宋体" w:hAnsi="宋体" w:cs="仿宋"/>
                <w:kern w:val="0"/>
                <w:sz w:val="21"/>
                <w:szCs w:val="21"/>
                <w:lang w:val="en-US" w:eastAsia="zh-CN"/>
              </w:rPr>
              <w:t>采购</w:t>
            </w:r>
            <w:r>
              <w:rPr>
                <w:rFonts w:hint="eastAsia" w:ascii="宋体" w:hAnsi="宋体" w:cs="仿宋"/>
                <w:kern w:val="0"/>
                <w:sz w:val="21"/>
                <w:szCs w:val="21"/>
              </w:rPr>
              <w:t>文件要求且</w:t>
            </w:r>
            <w:r>
              <w:rPr>
                <w:rFonts w:hint="eastAsia" w:ascii="宋体" w:hAnsi="宋体" w:cs="仿宋"/>
                <w:kern w:val="0"/>
                <w:sz w:val="21"/>
                <w:szCs w:val="21"/>
                <w:lang w:val="en-US" w:eastAsia="zh-CN"/>
              </w:rPr>
              <w:t>报价</w:t>
            </w:r>
            <w:r>
              <w:rPr>
                <w:rFonts w:hint="eastAsia" w:ascii="宋体" w:hAnsi="宋体" w:cs="仿宋"/>
                <w:kern w:val="0"/>
                <w:sz w:val="21"/>
                <w:szCs w:val="21"/>
              </w:rPr>
              <w:t>最低的</w:t>
            </w:r>
            <w:r>
              <w:rPr>
                <w:rFonts w:hint="eastAsia" w:ascii="宋体" w:hAnsi="宋体" w:cs="仿宋"/>
                <w:kern w:val="0"/>
                <w:sz w:val="21"/>
                <w:szCs w:val="21"/>
                <w:lang w:val="en-US" w:eastAsia="zh-CN"/>
              </w:rPr>
              <w:t>为评标基准价</w:t>
            </w:r>
            <w:r>
              <w:rPr>
                <w:rFonts w:hint="eastAsia" w:ascii="宋体" w:hAnsi="宋体" w:cs="仿宋"/>
                <w:kern w:val="0"/>
                <w:sz w:val="21"/>
                <w:szCs w:val="21"/>
                <w:lang w:eastAsia="zh-CN"/>
              </w:rPr>
              <w:t>，</w:t>
            </w:r>
            <w:r>
              <w:rPr>
                <w:rFonts w:hint="eastAsia" w:ascii="宋体" w:hAnsi="宋体" w:cs="仿宋"/>
                <w:kern w:val="0"/>
                <w:sz w:val="21"/>
                <w:szCs w:val="21"/>
                <w:lang w:val="en-US" w:eastAsia="zh-CN"/>
              </w:rPr>
              <w:t>其供应商</w:t>
            </w:r>
            <w:r>
              <w:rPr>
                <w:rFonts w:hint="eastAsia" w:asciiTheme="minorEastAsia" w:hAnsiTheme="minorEastAsia" w:eastAsiaTheme="minorEastAsia"/>
                <w:sz w:val="21"/>
                <w:szCs w:val="21"/>
              </w:rPr>
              <w:t>报价分为满分</w:t>
            </w:r>
            <w:r>
              <w:rPr>
                <w:rFonts w:asciiTheme="minorEastAsia" w:hAnsiTheme="minorEastAsia" w:eastAsiaTheme="minorEastAsia"/>
                <w:sz w:val="21"/>
                <w:szCs w:val="21"/>
                <w:u w:val="single"/>
              </w:rPr>
              <w:t>4</w:t>
            </w:r>
            <w:r>
              <w:rPr>
                <w:rFonts w:hint="eastAsia" w:asciiTheme="minorEastAsia" w:hAnsiTheme="minorEastAsia" w:eastAsiaTheme="minorEastAsia"/>
                <w:sz w:val="21"/>
                <w:szCs w:val="21"/>
                <w:u w:val="single"/>
              </w:rPr>
              <w:t>0</w:t>
            </w:r>
            <w:r>
              <w:rPr>
                <w:rFonts w:hint="eastAsia" w:asciiTheme="minorEastAsia" w:hAnsiTheme="minorEastAsia" w:eastAsia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1"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2693"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评分因素</w:t>
            </w:r>
          </w:p>
        </w:tc>
        <w:tc>
          <w:tcPr>
            <w:tcW w:w="5529"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1"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3.3（1）</w:t>
            </w:r>
          </w:p>
        </w:tc>
        <w:tc>
          <w:tcPr>
            <w:tcW w:w="2693" w:type="dxa"/>
            <w:gridSpan w:val="2"/>
            <w:vAlign w:val="center"/>
          </w:tcPr>
          <w:p>
            <w:pPr>
              <w:widowControl w:val="0"/>
              <w:adjustRightInd w:val="0"/>
              <w:snapToGrid w:val="0"/>
              <w:spacing w:line="360" w:lineRule="auto"/>
              <w:jc w:val="center"/>
              <w:textAlignment w:val="center"/>
              <w:rPr>
                <w:rFonts w:ascii="宋体" w:hAnsi="宋体"/>
                <w:szCs w:val="21"/>
              </w:rPr>
            </w:pPr>
            <w:r>
              <w:rPr>
                <w:rFonts w:hint="eastAsia" w:ascii="宋体" w:hAnsi="宋体"/>
                <w:szCs w:val="21"/>
              </w:rPr>
              <w:t>商务部分评分标准</w:t>
            </w:r>
          </w:p>
        </w:tc>
        <w:tc>
          <w:tcPr>
            <w:tcW w:w="5529" w:type="dxa"/>
            <w:vAlign w:val="center"/>
          </w:tcPr>
          <w:p>
            <w:pPr>
              <w:widowControl w:val="0"/>
              <w:adjustRightInd w:val="0"/>
              <w:snapToGrid w:val="0"/>
              <w:spacing w:line="360" w:lineRule="auto"/>
              <w:jc w:val="center"/>
              <w:textAlignment w:val="center"/>
              <w:rPr>
                <w:rFonts w:ascii="宋体" w:hAnsi="宋体"/>
                <w:szCs w:val="21"/>
              </w:rPr>
            </w:pPr>
            <w:r>
              <w:rPr>
                <w:rFonts w:hint="eastAsia" w:ascii="宋体" w:hAnsi="宋体"/>
                <w:szCs w:val="21"/>
              </w:rPr>
              <w:t>详见本章</w:t>
            </w:r>
            <w:r>
              <w:rPr>
                <w:rFonts w:hint="eastAsia" w:ascii="宋体" w:hAnsi="宋体"/>
                <w:b/>
                <w:szCs w:val="21"/>
              </w:rPr>
              <w:t>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1"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3.3（2）</w:t>
            </w:r>
          </w:p>
        </w:tc>
        <w:tc>
          <w:tcPr>
            <w:tcW w:w="2693" w:type="dxa"/>
            <w:gridSpan w:val="2"/>
            <w:vAlign w:val="center"/>
          </w:tcPr>
          <w:p>
            <w:pPr>
              <w:widowControl w:val="0"/>
              <w:adjustRightInd w:val="0"/>
              <w:snapToGrid w:val="0"/>
              <w:spacing w:line="360" w:lineRule="auto"/>
              <w:jc w:val="center"/>
              <w:textAlignment w:val="center"/>
              <w:rPr>
                <w:rFonts w:ascii="宋体" w:hAnsi="宋体"/>
                <w:szCs w:val="21"/>
              </w:rPr>
            </w:pPr>
            <w:r>
              <w:rPr>
                <w:rFonts w:hint="eastAsia" w:ascii="宋体" w:hAnsi="宋体"/>
                <w:szCs w:val="21"/>
              </w:rPr>
              <w:t>技术部分评分标准</w:t>
            </w:r>
          </w:p>
        </w:tc>
        <w:tc>
          <w:tcPr>
            <w:tcW w:w="5529" w:type="dxa"/>
            <w:vAlign w:val="center"/>
          </w:tcPr>
          <w:p>
            <w:pPr>
              <w:widowControl w:val="0"/>
              <w:adjustRightInd w:val="0"/>
              <w:snapToGrid w:val="0"/>
              <w:spacing w:line="360" w:lineRule="auto"/>
              <w:jc w:val="center"/>
              <w:textAlignment w:val="center"/>
              <w:rPr>
                <w:rFonts w:ascii="宋体" w:hAnsi="宋体"/>
                <w:szCs w:val="21"/>
              </w:rPr>
            </w:pPr>
            <w:r>
              <w:rPr>
                <w:rFonts w:hint="eastAsia" w:ascii="宋体" w:hAnsi="宋体"/>
                <w:szCs w:val="21"/>
              </w:rPr>
              <w:t>详见本章</w:t>
            </w:r>
            <w:r>
              <w:rPr>
                <w:rFonts w:hint="eastAsia" w:ascii="宋体" w:hAnsi="宋体"/>
                <w:b/>
                <w:szCs w:val="21"/>
              </w:rPr>
              <w:t>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71"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3.3（3）</w:t>
            </w:r>
          </w:p>
        </w:tc>
        <w:tc>
          <w:tcPr>
            <w:tcW w:w="2693"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ascii="宋体" w:hAnsi="宋体"/>
                <w:szCs w:val="21"/>
              </w:rPr>
              <w:t>报价评分标准</w:t>
            </w:r>
          </w:p>
        </w:tc>
        <w:tc>
          <w:tcPr>
            <w:tcW w:w="5529" w:type="dxa"/>
            <w:vAlign w:val="center"/>
          </w:tcPr>
          <w:p>
            <w:pPr>
              <w:widowControl/>
              <w:adjustRightInd w:val="0"/>
              <w:snapToGrid w:val="0"/>
              <w:spacing w:line="360" w:lineRule="auto"/>
              <w:jc w:val="center"/>
              <w:textAlignment w:val="center"/>
              <w:rPr>
                <w:rFonts w:cs="仿宋" w:asciiTheme="minorEastAsia" w:hAnsiTheme="minorEastAsia"/>
                <w:szCs w:val="21"/>
              </w:rPr>
            </w:pPr>
            <w:r>
              <w:rPr>
                <w:rFonts w:hint="eastAsia" w:ascii="宋体" w:hAnsi="宋体"/>
                <w:szCs w:val="21"/>
              </w:rPr>
              <w:t>详见本章</w:t>
            </w:r>
            <w:r>
              <w:rPr>
                <w:rFonts w:hint="eastAsia" w:ascii="宋体" w:hAnsi="宋体"/>
                <w:b/>
                <w:szCs w:val="21"/>
              </w:rPr>
              <w:t>附表3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271" w:type="dxa"/>
            <w:vAlign w:val="center"/>
          </w:tcPr>
          <w:p>
            <w:pPr>
              <w:widowControl w:val="0"/>
              <w:adjustRightInd w:val="0"/>
              <w:snapToGrid w:val="0"/>
              <w:spacing w:line="360" w:lineRule="auto"/>
              <w:jc w:val="center"/>
              <w:textAlignment w:val="center"/>
              <w:rPr>
                <w:rFonts w:asciiTheme="minorEastAsia" w:hAnsiTheme="minorEastAsia" w:eastAsiaTheme="minorEastAsia"/>
                <w:szCs w:val="21"/>
              </w:rPr>
            </w:pPr>
            <w:r>
              <w:rPr>
                <w:rFonts w:hint="eastAsia" w:asciiTheme="minorEastAsia" w:hAnsiTheme="minorEastAsia" w:eastAsiaTheme="minorEastAsia"/>
                <w:szCs w:val="21"/>
              </w:rPr>
              <w:t>3.4.1</w:t>
            </w:r>
          </w:p>
        </w:tc>
        <w:tc>
          <w:tcPr>
            <w:tcW w:w="2693" w:type="dxa"/>
            <w:gridSpan w:val="2"/>
            <w:vAlign w:val="center"/>
          </w:tcPr>
          <w:p>
            <w:pPr>
              <w:widowControl w:val="0"/>
              <w:adjustRightInd w:val="0"/>
              <w:snapToGrid w:val="0"/>
              <w:spacing w:line="360" w:lineRule="auto"/>
              <w:jc w:val="center"/>
              <w:textAlignment w:val="center"/>
              <w:rPr>
                <w:rFonts w:asciiTheme="minorEastAsia" w:hAnsiTheme="minorEastAsia" w:eastAsiaTheme="minorEastAsia"/>
                <w:szCs w:val="21"/>
              </w:rPr>
            </w:pPr>
            <w:r>
              <w:rPr>
                <w:rFonts w:hint="eastAsia" w:asciiTheme="minorEastAsia" w:hAnsiTheme="minorEastAsia" w:eastAsiaTheme="minorEastAsia"/>
                <w:szCs w:val="21"/>
              </w:rPr>
              <w:t>供应商最终得分的计算方法</w:t>
            </w:r>
          </w:p>
        </w:tc>
        <w:tc>
          <w:tcPr>
            <w:tcW w:w="5529" w:type="dxa"/>
            <w:vAlign w:val="center"/>
          </w:tcPr>
          <w:p>
            <w:pPr>
              <w:widowControl w:val="0"/>
              <w:adjustRightInd w:val="0"/>
              <w:snapToGrid w:val="0"/>
              <w:spacing w:line="360" w:lineRule="auto"/>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供应商最终得分为商务部分、技术部分、投标报价3个方面评价得分之和。</w:t>
            </w:r>
          </w:p>
        </w:tc>
      </w:tr>
    </w:tbl>
    <w:p>
      <w:pPr>
        <w:spacing w:line="360" w:lineRule="auto"/>
        <w:jc w:val="both"/>
        <w:rPr>
          <w:rFonts w:ascii="宋体" w:hAnsi="宋体" w:cs="仿宋"/>
          <w:sz w:val="24"/>
        </w:rPr>
      </w:pPr>
      <w:r>
        <w:rPr>
          <w:rFonts w:hint="eastAsia" w:ascii="宋体" w:hAnsi="宋体" w:cs="仿宋"/>
          <w:sz w:val="24"/>
        </w:rPr>
        <w:br w:type="page"/>
      </w:r>
    </w:p>
    <w:p>
      <w:pPr>
        <w:adjustRightInd w:val="0"/>
        <w:snapToGrid w:val="0"/>
        <w:spacing w:line="360"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60" w:lineRule="auto"/>
        <w:jc w:val="both"/>
        <w:rPr>
          <w:rFonts w:ascii="宋体" w:hAnsi="宋体" w:cs="仿宋"/>
          <w:b/>
          <w:bCs/>
          <w:sz w:val="36"/>
          <w:szCs w:val="36"/>
        </w:rPr>
      </w:pPr>
    </w:p>
    <w:p>
      <w:pPr>
        <w:adjustRightInd w:val="0"/>
        <w:snapToGrid w:val="0"/>
        <w:spacing w:line="360" w:lineRule="auto"/>
        <w:jc w:val="both"/>
        <w:rPr>
          <w:rFonts w:ascii="宋体" w:hAnsi="宋体" w:cs="仿宋"/>
          <w:b/>
          <w:bCs/>
          <w:sz w:val="24"/>
        </w:rPr>
      </w:pPr>
      <w:r>
        <w:rPr>
          <w:rFonts w:hint="eastAsia" w:ascii="宋体" w:hAnsi="宋体" w:cs="仿宋"/>
          <w:b/>
          <w:bCs/>
          <w:sz w:val="24"/>
        </w:rPr>
        <w:t>1评审方法(综合评分法)</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1.1综合评分法，指</w:t>
      </w:r>
      <w:r>
        <w:rPr>
          <w:rFonts w:hint="eastAsia" w:ascii="宋体" w:hAnsi="宋体" w:cs="仿宋"/>
          <w:sz w:val="24"/>
          <w:lang w:eastAsia="zh-CN"/>
        </w:rPr>
        <w:t>响应文件</w:t>
      </w:r>
      <w:r>
        <w:rPr>
          <w:rFonts w:hint="eastAsia" w:ascii="宋体" w:hAnsi="宋体" w:cs="仿宋"/>
          <w:sz w:val="24"/>
        </w:rPr>
        <w:t>满足</w:t>
      </w:r>
      <w:r>
        <w:rPr>
          <w:rFonts w:hint="eastAsia" w:ascii="宋体" w:hAnsi="宋体" w:cs="仿宋"/>
          <w:sz w:val="24"/>
          <w:lang w:eastAsia="zh-CN"/>
        </w:rPr>
        <w:t>采购文件</w:t>
      </w:r>
      <w:r>
        <w:rPr>
          <w:rFonts w:hint="eastAsia" w:ascii="宋体" w:hAnsi="宋体" w:cs="仿宋"/>
          <w:sz w:val="24"/>
        </w:rPr>
        <w:t>全部实质性要求，且按照评审因素的量化指标评审得分最高的</w:t>
      </w:r>
      <w:r>
        <w:rPr>
          <w:rFonts w:hint="eastAsia" w:ascii="宋体" w:hAnsi="宋体" w:cs="仿宋"/>
          <w:sz w:val="24"/>
          <w:lang w:eastAsia="zh-CN"/>
        </w:rPr>
        <w:t>供应商</w:t>
      </w:r>
      <w:r>
        <w:rPr>
          <w:rFonts w:hint="eastAsia" w:ascii="宋体" w:hAnsi="宋体" w:cs="仿宋"/>
          <w:sz w:val="24"/>
        </w:rPr>
        <w:t>为中标候选人的评标方法。</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1.2评标因素：评审因素的设定应当与</w:t>
      </w:r>
      <w:r>
        <w:rPr>
          <w:rFonts w:hint="eastAsia" w:ascii="宋体" w:hAnsi="宋体" w:cs="仿宋"/>
          <w:sz w:val="24"/>
          <w:lang w:eastAsia="zh-CN"/>
        </w:rPr>
        <w:t>供应商</w:t>
      </w:r>
      <w:r>
        <w:rPr>
          <w:rFonts w:hint="eastAsia" w:ascii="宋体" w:hAnsi="宋体" w:cs="仿宋"/>
          <w:sz w:val="24"/>
        </w:rPr>
        <w:t>所提供货物服务的质量相关，包括投标报价、技术或者服务水平、履约能力、售后服务等，但不包括第一章</w:t>
      </w:r>
      <w:r>
        <w:rPr>
          <w:rFonts w:hint="eastAsia" w:ascii="宋体" w:hAnsi="宋体" w:cs="仿宋"/>
          <w:sz w:val="24"/>
          <w:lang w:eastAsia="zh-CN"/>
        </w:rPr>
        <w:t>供应商</w:t>
      </w:r>
      <w:r>
        <w:rPr>
          <w:rFonts w:hint="eastAsia" w:ascii="宋体" w:hAnsi="宋体" w:cs="仿宋"/>
          <w:sz w:val="24"/>
        </w:rPr>
        <w:t>的资格要求。本采购项目的评标因素和标准见本章 “评审办法”。</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1.3未通过符合性审查的</w:t>
      </w:r>
      <w:r>
        <w:rPr>
          <w:rFonts w:hint="eastAsia" w:ascii="宋体" w:hAnsi="宋体" w:cs="仿宋"/>
          <w:sz w:val="24"/>
          <w:lang w:eastAsia="zh-CN"/>
        </w:rPr>
        <w:t>响应文件</w:t>
      </w:r>
      <w:r>
        <w:rPr>
          <w:rFonts w:hint="eastAsia" w:ascii="宋体" w:hAnsi="宋体" w:cs="仿宋"/>
          <w:sz w:val="24"/>
        </w:rPr>
        <w:t>不得进入比较与评价。</w:t>
      </w:r>
    </w:p>
    <w:p>
      <w:pPr>
        <w:adjustRightInd w:val="0"/>
        <w:snapToGrid w:val="0"/>
        <w:spacing w:line="360"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60"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2.1.1资格评审标准: 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2.1.2响应性评审标准: 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60" w:lineRule="auto"/>
        <w:jc w:val="both"/>
        <w:rPr>
          <w:rFonts w:ascii="宋体" w:hAnsi="宋体" w:cs="仿宋"/>
          <w:b/>
          <w:bCs/>
          <w:sz w:val="24"/>
        </w:rPr>
      </w:pPr>
      <w:r>
        <w:rPr>
          <w:rFonts w:hint="eastAsia" w:ascii="宋体" w:hAnsi="宋体" w:cs="仿宋"/>
          <w:b/>
          <w:bCs/>
          <w:sz w:val="24"/>
        </w:rPr>
        <w:t>3详细评审标准和程序(综合评分法)</w:t>
      </w:r>
    </w:p>
    <w:p>
      <w:pPr>
        <w:adjustRightInd w:val="0"/>
        <w:snapToGrid w:val="0"/>
        <w:spacing w:line="360" w:lineRule="auto"/>
        <w:jc w:val="both"/>
        <w:rPr>
          <w:rFonts w:ascii="宋体" w:hAnsi="宋体" w:cs="仿宋"/>
          <w:b/>
          <w:bCs/>
          <w:sz w:val="24"/>
        </w:rPr>
      </w:pPr>
      <w:r>
        <w:rPr>
          <w:rFonts w:hint="eastAsia" w:ascii="宋体" w:hAnsi="宋体" w:cs="仿宋"/>
          <w:b/>
          <w:bCs/>
          <w:sz w:val="24"/>
        </w:rPr>
        <w:t>3.1分值构成</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(1)商务部分:见评审办法前附表;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(2)技术部分:见评审办法前附表;</w:t>
      </w:r>
    </w:p>
    <w:p>
      <w:pPr>
        <w:adjustRightInd w:val="0"/>
        <w:snapToGrid w:val="0"/>
        <w:spacing w:line="360" w:lineRule="auto"/>
        <w:ind w:firstLine="321" w:firstLineChars="134"/>
        <w:jc w:val="both"/>
        <w:rPr>
          <w:rFonts w:ascii="宋体" w:hAnsi="宋体" w:cs="仿宋"/>
          <w:sz w:val="24"/>
        </w:rPr>
      </w:pPr>
      <w:r>
        <w:rPr>
          <w:rFonts w:hint="eastAsia" w:ascii="宋体" w:hAnsi="宋体" w:cs="仿宋"/>
          <w:sz w:val="24"/>
        </w:rPr>
        <w:t xml:space="preserve"> (3)报价:见评审办法前附表;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3.2评分标准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(1)商务评分标准:见评审办法前附表;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(2)技术评分标准:见评审办法前附表;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(3)报价评分标准: 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3.3评分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成员按照评分标准独立对供应商的商务、技术和其他因素进行评分。报价评分由评审小组统一计算。各项得分汇总后为该成员给供应商的评分总分，评分值计算保留小数点后两位，小数点后第三位“四舍五入”。</w:t>
      </w:r>
    </w:p>
    <w:p>
      <w:pPr>
        <w:adjustRightInd w:val="0"/>
        <w:snapToGrid w:val="0"/>
        <w:spacing w:line="360" w:lineRule="auto"/>
        <w:jc w:val="both"/>
        <w:rPr>
          <w:rFonts w:ascii="宋体" w:hAnsi="宋体" w:cs="仿宋"/>
          <w:sz w:val="24"/>
        </w:rPr>
      </w:pPr>
      <w:r>
        <w:rPr>
          <w:rFonts w:hint="eastAsia" w:ascii="宋体" w:hAnsi="宋体" w:cs="仿宋"/>
          <w:b/>
          <w:bCs/>
          <w:sz w:val="24"/>
        </w:rPr>
        <w:t>3.4汇总</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评审小组汇总每个成员对供应商的评分总分，每个供应商的评分总分的算术平均值为供应商最终得分。</w:t>
      </w:r>
    </w:p>
    <w:p>
      <w:pPr>
        <w:adjustRightInd w:val="0"/>
        <w:snapToGrid w:val="0"/>
        <w:spacing w:line="360" w:lineRule="auto"/>
        <w:jc w:val="both"/>
        <w:rPr>
          <w:rFonts w:ascii="宋体" w:hAnsi="宋体" w:cs="仿宋"/>
          <w:b/>
          <w:bCs/>
          <w:sz w:val="24"/>
        </w:rPr>
      </w:pPr>
      <w:r>
        <w:rPr>
          <w:rFonts w:hint="eastAsia" w:ascii="宋体" w:hAnsi="宋体" w:cs="仿宋"/>
          <w:b/>
          <w:bCs/>
          <w:sz w:val="24"/>
        </w:rPr>
        <w:t>3.5排序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评审小组对响应文件进行比较后，按照评审得分由高到低的顺序对供应商排序。得分相同的，按投标报价由低到高顺序排列。得分且投标报价相同的，按技术指标优劣顺序排列。</w:t>
      </w:r>
    </w:p>
    <w:p>
      <w:pPr>
        <w:adjustRightInd w:val="0"/>
        <w:snapToGrid w:val="0"/>
        <w:spacing w:line="360"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60"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60"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adjustRightInd w:val="0"/>
        <w:snapToGrid w:val="0"/>
        <w:spacing w:line="360" w:lineRule="auto"/>
        <w:rPr>
          <w:rFonts w:ascii="宋体" w:hAnsi="宋体"/>
          <w:b/>
          <w:kern w:val="0"/>
          <w:szCs w:val="21"/>
        </w:rPr>
      </w:pPr>
    </w:p>
    <w:p>
      <w:pPr>
        <w:spacing w:line="360" w:lineRule="auto"/>
        <w:rPr>
          <w:rFonts w:ascii="黑体" w:hAnsi="黑体" w:eastAsia="黑体" w:cs="仿宋"/>
          <w:b/>
          <w:color w:val="000000"/>
          <w:sz w:val="36"/>
          <w:szCs w:val="36"/>
        </w:rPr>
      </w:pPr>
      <w:bookmarkStart w:id="14" w:name="_Toc9329"/>
      <w:r>
        <w:rPr>
          <w:rFonts w:ascii="黑体" w:hAnsi="黑体" w:eastAsia="黑体" w:cs="仿宋"/>
          <w:b/>
          <w:color w:val="000000"/>
          <w:sz w:val="36"/>
          <w:szCs w:val="36"/>
        </w:rPr>
        <w:br w:type="page"/>
      </w:r>
    </w:p>
    <w:p>
      <w:pPr>
        <w:widowControl w:val="0"/>
        <w:snapToGrid w:val="0"/>
        <w:spacing w:line="360" w:lineRule="auto"/>
        <w:jc w:val="both"/>
        <w:outlineLvl w:val="0"/>
        <w:rPr>
          <w:rFonts w:ascii="黑体" w:hAnsi="黑体" w:eastAsia="黑体" w:cs="宋体"/>
          <w:kern w:val="44"/>
          <w:sz w:val="32"/>
          <w:szCs w:val="32"/>
        </w:rPr>
      </w:pPr>
      <w:r>
        <w:rPr>
          <w:rFonts w:hint="eastAsia" w:ascii="黑体" w:hAnsi="黑体" w:eastAsia="黑体" w:cs="宋体"/>
          <w:kern w:val="44"/>
          <w:sz w:val="32"/>
          <w:szCs w:val="32"/>
        </w:rPr>
        <w:t xml:space="preserve">附表1  </w:t>
      </w:r>
    </w:p>
    <w:p>
      <w:pPr>
        <w:widowControl w:val="0"/>
        <w:snapToGrid w:val="0"/>
        <w:spacing w:line="360" w:lineRule="auto"/>
        <w:jc w:val="center"/>
        <w:outlineLvl w:val="0"/>
        <w:rPr>
          <w:rFonts w:ascii="黑体" w:hAnsi="黑体" w:eastAsia="黑体" w:cs="宋体"/>
          <w:kern w:val="44"/>
          <w:sz w:val="32"/>
          <w:szCs w:val="32"/>
        </w:rPr>
      </w:pPr>
      <w:r>
        <w:rPr>
          <w:rFonts w:hint="eastAsia" w:ascii="黑体" w:hAnsi="黑体" w:eastAsia="黑体" w:cs="宋体"/>
          <w:kern w:val="44"/>
          <w:sz w:val="32"/>
          <w:szCs w:val="32"/>
        </w:rPr>
        <w:t>商务部分评分表</w:t>
      </w:r>
    </w:p>
    <w:p>
      <w:pPr>
        <w:snapToGrid w:val="0"/>
        <w:spacing w:line="360" w:lineRule="auto"/>
        <w:jc w:val="both"/>
        <w:rPr>
          <w:rFonts w:ascii="宋体" w:hAnsi="宋体" w:cs="宋体"/>
          <w:bCs/>
          <w:snapToGrid w:val="0"/>
          <w:sz w:val="24"/>
          <w:u w:val="single"/>
        </w:rPr>
      </w:pPr>
      <w:r>
        <w:rPr>
          <w:rFonts w:hint="eastAsia" w:ascii="宋体" w:hAnsi="宋体"/>
          <w:sz w:val="24"/>
        </w:rPr>
        <w:t>项目名称：</w:t>
      </w:r>
      <w:r>
        <w:rPr>
          <w:rFonts w:hint="eastAsia" w:ascii="宋体" w:hAnsi="宋体" w:cs="宋体"/>
          <w:bCs/>
          <w:sz w:val="24"/>
          <w:u w:val="single"/>
        </w:rPr>
        <w:t>岳阳</w:t>
      </w:r>
      <w:r>
        <w:rPr>
          <w:rFonts w:ascii="宋体" w:hAnsi="宋体" w:cs="宋体"/>
          <w:bCs/>
          <w:sz w:val="24"/>
          <w:u w:val="single"/>
        </w:rPr>
        <w:t>城陵矶新港有限</w:t>
      </w:r>
      <w:r>
        <w:rPr>
          <w:rFonts w:hint="eastAsia" w:ascii="宋体" w:hAnsi="宋体" w:cs="宋体"/>
          <w:bCs/>
          <w:sz w:val="24"/>
          <w:u w:val="single"/>
        </w:rPr>
        <w:t>公司</w:t>
      </w:r>
      <w:r>
        <w:rPr>
          <w:rFonts w:hint="eastAsia" w:ascii="宋体" w:hAnsi="宋体" w:cs="宋体"/>
          <w:bCs/>
          <w:snapToGrid w:val="0"/>
          <w:sz w:val="24"/>
          <w:u w:val="single"/>
        </w:rPr>
        <w:t>信息化综合故障检测系统采购</w:t>
      </w:r>
    </w:p>
    <w:tbl>
      <w:tblPr>
        <w:tblStyle w:val="39"/>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233"/>
        <w:gridCol w:w="6247"/>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6" w:hRule="atLeast"/>
          <w:jc w:val="center"/>
        </w:trPr>
        <w:tc>
          <w:tcPr>
            <w:tcW w:w="452"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序号</w:t>
            </w:r>
          </w:p>
        </w:tc>
        <w:tc>
          <w:tcPr>
            <w:tcW w:w="1233"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评分因素</w:t>
            </w:r>
          </w:p>
        </w:tc>
        <w:tc>
          <w:tcPr>
            <w:tcW w:w="6247"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评价内容/分值</w:t>
            </w:r>
          </w:p>
        </w:tc>
        <w:tc>
          <w:tcPr>
            <w:tcW w:w="1406"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供应商名称/得分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45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企业类似项目业绩</w:t>
            </w:r>
          </w:p>
          <w:p>
            <w:pPr>
              <w:spacing w:line="360" w:lineRule="auto"/>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w:t>
            </w:r>
            <w:r>
              <w:rPr>
                <w:rFonts w:asciiTheme="minorEastAsia" w:hAnsiTheme="minorEastAsia" w:eastAsiaTheme="minorEastAsia" w:cstheme="minorEastAsia"/>
                <w:color w:val="000000"/>
                <w:sz w:val="22"/>
                <w:szCs w:val="22"/>
              </w:rPr>
              <w:t>6</w:t>
            </w:r>
            <w:r>
              <w:rPr>
                <w:rFonts w:hint="eastAsia" w:asciiTheme="minorEastAsia" w:hAnsiTheme="minorEastAsia" w:eastAsiaTheme="minorEastAsia" w:cstheme="minorEastAsia"/>
                <w:color w:val="000000"/>
                <w:sz w:val="22"/>
                <w:szCs w:val="22"/>
              </w:rPr>
              <w:t>分）</w:t>
            </w:r>
          </w:p>
        </w:tc>
        <w:tc>
          <w:tcPr>
            <w:tcW w:w="624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textAlignment w:val="center"/>
              <w:rPr>
                <w:rFonts w:ascii="宋体" w:hAnsi="宋体" w:cs="宋体"/>
                <w:color w:val="000000"/>
                <w:kern w:val="0"/>
                <w:sz w:val="24"/>
                <w:lang w:bidi="ar"/>
              </w:rPr>
            </w:pPr>
            <w:r>
              <w:rPr>
                <w:rFonts w:hint="eastAsia" w:ascii="宋体" w:hAnsi="宋体" w:cs="宋体"/>
                <w:color w:val="000000"/>
                <w:kern w:val="0"/>
                <w:sz w:val="24"/>
                <w:lang w:bidi="ar"/>
              </w:rPr>
              <w:t>提供自20</w:t>
            </w:r>
            <w:r>
              <w:rPr>
                <w:rFonts w:hint="eastAsia" w:ascii="宋体" w:hAnsi="宋体" w:cs="宋体"/>
                <w:color w:val="000000"/>
                <w:kern w:val="0"/>
                <w:sz w:val="24"/>
                <w:lang w:val="en-US" w:eastAsia="zh-CN" w:bidi="ar"/>
              </w:rPr>
              <w:t>20</w:t>
            </w:r>
            <w:r>
              <w:rPr>
                <w:rFonts w:hint="eastAsia" w:ascii="宋体" w:hAnsi="宋体" w:cs="宋体"/>
                <w:color w:val="000000"/>
                <w:kern w:val="0"/>
                <w:sz w:val="24"/>
                <w:lang w:bidi="ar"/>
              </w:rPr>
              <w:t>年</w:t>
            </w:r>
            <w:r>
              <w:rPr>
                <w:rFonts w:hint="eastAsia" w:ascii="宋体" w:hAnsi="宋体" w:cs="宋体"/>
                <w:color w:val="000000"/>
                <w:kern w:val="0"/>
                <w:sz w:val="24"/>
                <w:lang w:val="en-US" w:eastAsia="zh-CN" w:bidi="ar"/>
              </w:rPr>
              <w:t>5</w:t>
            </w:r>
            <w:r>
              <w:rPr>
                <w:rFonts w:hint="eastAsia" w:ascii="宋体" w:hAnsi="宋体" w:cs="宋体"/>
                <w:color w:val="000000"/>
                <w:kern w:val="0"/>
                <w:sz w:val="24"/>
                <w:lang w:bidi="ar"/>
              </w:rPr>
              <w:t>月以来（以合同签订时间为准）</w:t>
            </w:r>
            <w:r>
              <w:rPr>
                <w:rFonts w:hint="eastAsia" w:ascii="宋体" w:hAnsi="宋体" w:cs="宋体"/>
                <w:color w:val="000000"/>
                <w:kern w:val="0"/>
                <w:sz w:val="24"/>
                <w:lang w:eastAsia="zh-CN" w:bidi="ar"/>
              </w:rPr>
              <w:t>供应商</w:t>
            </w:r>
            <w:r>
              <w:rPr>
                <w:rFonts w:hint="eastAsia" w:ascii="宋体" w:hAnsi="宋体" w:cs="宋体"/>
                <w:color w:val="000000"/>
                <w:kern w:val="0"/>
                <w:sz w:val="24"/>
                <w:lang w:bidi="ar"/>
              </w:rPr>
              <w:t>取得的类似项目业绩，每个合同计2分，最多计6分。</w:t>
            </w:r>
          </w:p>
          <w:p>
            <w:pPr>
              <w:tabs>
                <w:tab w:val="left" w:pos="3423"/>
              </w:tabs>
              <w:spacing w:line="360" w:lineRule="auto"/>
            </w:pPr>
            <w:r>
              <w:rPr>
                <w:rFonts w:ascii="宋体" w:hAnsi="宋体" w:cs="宋体"/>
                <w:color w:val="000000"/>
                <w:kern w:val="0"/>
                <w:sz w:val="24"/>
                <w:lang w:bidi="ar"/>
              </w:rPr>
              <w:t>（提供完整有效的合同复印件并加盖</w:t>
            </w:r>
            <w:r>
              <w:rPr>
                <w:rFonts w:hint="eastAsia" w:ascii="宋体" w:hAnsi="宋体" w:cs="宋体"/>
                <w:color w:val="000000"/>
                <w:kern w:val="0"/>
                <w:sz w:val="24"/>
                <w:lang w:eastAsia="zh-CN" w:bidi="ar"/>
              </w:rPr>
              <w:t>供应商</w:t>
            </w:r>
            <w:r>
              <w:rPr>
                <w:rFonts w:ascii="宋体" w:hAnsi="宋体" w:cs="宋体"/>
                <w:color w:val="000000"/>
                <w:kern w:val="0"/>
                <w:sz w:val="24"/>
                <w:lang w:bidi="ar"/>
              </w:rPr>
              <w:t>公章，否则不计分）</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sz w:val="22"/>
                <w:szCs w:val="22"/>
              </w:rPr>
            </w:pPr>
          </w:p>
          <w:p>
            <w:pPr>
              <w:pStyle w:val="3"/>
              <w:spacing w:line="360" w:lineRule="auto"/>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jc w:val="center"/>
        </w:trPr>
        <w:tc>
          <w:tcPr>
            <w:tcW w:w="452"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1233" w:type="dxa"/>
            <w:tcBorders>
              <w:top w:val="single" w:color="auto" w:sz="4" w:space="0"/>
              <w:left w:val="single" w:color="auto" w:sz="4" w:space="0"/>
              <w:right w:val="single" w:color="auto" w:sz="4" w:space="0"/>
            </w:tcBorders>
            <w:vAlign w:val="center"/>
          </w:tcPr>
          <w:p>
            <w:pPr>
              <w:widowControl w:val="0"/>
              <w:spacing w:line="360" w:lineRule="auto"/>
              <w:jc w:val="center"/>
              <w:rPr>
                <w:rFonts w:ascii="宋体" w:hAnsi="宋体" w:cs="宋体"/>
                <w:color w:val="000000"/>
                <w:sz w:val="24"/>
              </w:rPr>
            </w:pPr>
            <w:r>
              <w:rPr>
                <w:rFonts w:hint="eastAsia" w:ascii="宋体" w:hAnsi="宋体" w:cs="宋体"/>
                <w:color w:val="000000"/>
                <w:sz w:val="24"/>
              </w:rPr>
              <w:t>综合能力与</w:t>
            </w:r>
          </w:p>
          <w:p>
            <w:pPr>
              <w:widowControl w:val="0"/>
              <w:spacing w:line="360" w:lineRule="auto"/>
              <w:jc w:val="center"/>
              <w:rPr>
                <w:rFonts w:ascii="宋体" w:hAnsi="宋体" w:cs="宋体"/>
                <w:color w:val="000000"/>
                <w:kern w:val="0"/>
                <w:sz w:val="24"/>
                <w:lang w:bidi="ar"/>
              </w:rPr>
            </w:pPr>
            <w:r>
              <w:rPr>
                <w:rFonts w:hint="eastAsia" w:ascii="宋体" w:hAnsi="宋体" w:cs="宋体"/>
                <w:color w:val="000000"/>
                <w:kern w:val="0"/>
                <w:sz w:val="24"/>
                <w:lang w:bidi="ar"/>
              </w:rPr>
              <w:t>人员配备</w:t>
            </w:r>
          </w:p>
          <w:p>
            <w:pPr>
              <w:widowControl w:val="0"/>
              <w:spacing w:line="360" w:lineRule="auto"/>
              <w:jc w:val="center"/>
              <w:rPr>
                <w:rFonts w:ascii="宋体" w:hAnsi="宋体" w:cs="宋体"/>
                <w:color w:val="000000"/>
                <w:kern w:val="0"/>
                <w:sz w:val="24"/>
                <w:lang w:bidi="ar"/>
              </w:rPr>
            </w:pPr>
            <w:r>
              <w:rPr>
                <w:rFonts w:hint="eastAsia"/>
                <w:lang w:bidi="ar"/>
              </w:rPr>
              <w:t>（8分）</w:t>
            </w:r>
          </w:p>
        </w:tc>
        <w:tc>
          <w:tcPr>
            <w:tcW w:w="6247" w:type="dxa"/>
            <w:tcBorders>
              <w:top w:val="single" w:color="auto" w:sz="4" w:space="0"/>
              <w:left w:val="single" w:color="auto" w:sz="4" w:space="0"/>
              <w:bottom w:val="single" w:color="auto" w:sz="4" w:space="0"/>
              <w:right w:val="single" w:color="auto" w:sz="4" w:space="0"/>
            </w:tcBorders>
            <w:vAlign w:val="center"/>
          </w:tcPr>
          <w:p>
            <w:pPr>
              <w:tabs>
                <w:tab w:val="left" w:pos="3423"/>
              </w:tabs>
              <w:spacing w:line="360" w:lineRule="auto"/>
              <w:rPr>
                <w:rFonts w:ascii="宋体" w:hAnsi="宋体" w:cs="宋体"/>
                <w:color w:val="000000"/>
                <w:kern w:val="0"/>
                <w:sz w:val="24"/>
                <w:lang w:bidi="ar"/>
              </w:rPr>
            </w:pPr>
            <w:r>
              <w:rPr>
                <w:rFonts w:hint="eastAsia" w:ascii="宋体" w:hAnsi="宋体" w:cs="宋体"/>
                <w:color w:val="000000"/>
                <w:kern w:val="0"/>
                <w:sz w:val="24"/>
                <w:lang w:eastAsia="zh-CN" w:bidi="ar"/>
              </w:rPr>
              <w:t>供应商</w:t>
            </w:r>
            <w:r>
              <w:rPr>
                <w:rFonts w:hint="eastAsia" w:ascii="宋体" w:hAnsi="宋体" w:cs="宋体"/>
                <w:color w:val="000000"/>
                <w:kern w:val="0"/>
                <w:sz w:val="24"/>
                <w:lang w:bidi="ar"/>
              </w:rPr>
              <w:t>具有CMMI3及以上证书的，计2分；</w:t>
            </w:r>
          </w:p>
          <w:p>
            <w:pPr>
              <w:tabs>
                <w:tab w:val="left" w:pos="3423"/>
              </w:tabs>
              <w:spacing w:line="360" w:lineRule="auto"/>
              <w:rPr>
                <w:rFonts w:ascii="宋体" w:hAnsi="宋体" w:cs="宋体"/>
                <w:color w:val="000000"/>
                <w:kern w:val="0"/>
                <w:sz w:val="24"/>
                <w:lang w:bidi="ar"/>
              </w:rPr>
            </w:pPr>
            <w:r>
              <w:rPr>
                <w:rFonts w:hint="eastAsia" w:ascii="宋体" w:hAnsi="宋体" w:cs="宋体"/>
                <w:color w:val="000000"/>
                <w:kern w:val="0"/>
                <w:sz w:val="24"/>
                <w:lang w:eastAsia="zh-CN" w:bidi="ar"/>
              </w:rPr>
              <w:t>供应商</w:t>
            </w:r>
            <w:r>
              <w:rPr>
                <w:rFonts w:hint="eastAsia" w:ascii="宋体" w:hAnsi="宋体" w:cs="宋体"/>
                <w:color w:val="000000"/>
                <w:kern w:val="0"/>
                <w:sz w:val="24"/>
                <w:lang w:bidi="ar"/>
              </w:rPr>
              <w:t>具有ITSS信息技术服务工具产品符合性证书的，计2分。</w:t>
            </w:r>
          </w:p>
          <w:p>
            <w:pPr>
              <w:tabs>
                <w:tab w:val="left" w:pos="3423"/>
              </w:tabs>
              <w:spacing w:line="360" w:lineRule="auto"/>
              <w:rPr>
                <w:rFonts w:hint="default" w:ascii="宋体" w:hAnsi="宋体" w:cs="宋体"/>
                <w:color w:val="000000"/>
                <w:kern w:val="0"/>
                <w:sz w:val="24"/>
                <w:lang w:bidi="ar"/>
              </w:rPr>
            </w:pPr>
            <w:r>
              <w:rPr>
                <w:rFonts w:hint="default" w:ascii="宋体" w:hAnsi="宋体" w:cs="宋体"/>
                <w:color w:val="000000"/>
                <w:kern w:val="0"/>
                <w:sz w:val="24"/>
                <w:lang w:bidi="ar"/>
              </w:rPr>
              <w:t>（上述均须提供证书或证明材料复印件并加盖</w:t>
            </w:r>
            <w:r>
              <w:rPr>
                <w:rFonts w:hint="eastAsia" w:ascii="宋体" w:hAnsi="宋体" w:cs="宋体"/>
                <w:color w:val="000000"/>
                <w:kern w:val="0"/>
                <w:sz w:val="24"/>
                <w:lang w:eastAsia="zh-CN" w:bidi="ar"/>
              </w:rPr>
              <w:t>供应商</w:t>
            </w:r>
            <w:r>
              <w:rPr>
                <w:rFonts w:hint="default" w:ascii="宋体" w:hAnsi="宋体" w:cs="宋体"/>
                <w:color w:val="000000"/>
                <w:kern w:val="0"/>
                <w:sz w:val="24"/>
                <w:lang w:bidi="ar"/>
              </w:rPr>
              <w:t>公章，否则不计分）</w:t>
            </w:r>
          </w:p>
          <w:p>
            <w:pPr>
              <w:tabs>
                <w:tab w:val="left" w:pos="3423"/>
              </w:tabs>
              <w:spacing w:line="360" w:lineRule="auto"/>
              <w:rPr>
                <w:rFonts w:ascii="宋体" w:hAnsi="宋体" w:cs="宋体"/>
                <w:color w:val="000000"/>
                <w:kern w:val="0"/>
                <w:sz w:val="24"/>
                <w:lang w:eastAsia="zh-Hans" w:bidi="ar"/>
              </w:rPr>
            </w:pPr>
            <w:r>
              <w:rPr>
                <w:rFonts w:hint="eastAsia" w:ascii="宋体" w:hAnsi="宋体" w:cs="宋体"/>
                <w:color w:val="000000"/>
                <w:kern w:val="0"/>
                <w:sz w:val="24"/>
                <w:lang w:bidi="ar"/>
              </w:rPr>
              <w:t>项目经理具备有效期内的PMP证书</w:t>
            </w:r>
            <w:r>
              <w:rPr>
                <w:rFonts w:hint="eastAsia" w:ascii="宋体" w:hAnsi="宋体" w:cs="宋体"/>
                <w:color w:val="000000"/>
                <w:kern w:val="0"/>
                <w:sz w:val="24"/>
                <w:lang w:val="en-US" w:eastAsia="zh-CN" w:bidi="ar"/>
              </w:rPr>
              <w:t>或</w:t>
            </w:r>
            <w:r>
              <w:rPr>
                <w:rFonts w:hint="eastAsia" w:ascii="宋体" w:hAnsi="宋体" w:cs="宋体"/>
                <w:color w:val="000000"/>
                <w:kern w:val="0"/>
                <w:sz w:val="24"/>
                <w:lang w:bidi="ar"/>
              </w:rPr>
              <w:t>ITIL4证书的</w:t>
            </w:r>
            <w:r>
              <w:rPr>
                <w:rFonts w:hint="eastAsia" w:ascii="宋体" w:hAnsi="宋体" w:cs="宋体"/>
                <w:color w:val="000000"/>
                <w:kern w:val="0"/>
                <w:sz w:val="24"/>
                <w:lang w:eastAsia="zh-Hans" w:bidi="ar"/>
              </w:rPr>
              <w:t>，</w:t>
            </w:r>
            <w:r>
              <w:rPr>
                <w:rFonts w:hint="eastAsia" w:ascii="宋体" w:hAnsi="宋体" w:cs="宋体"/>
                <w:color w:val="000000"/>
                <w:kern w:val="0"/>
                <w:sz w:val="24"/>
                <w:lang w:val="en-US" w:eastAsia="zh-CN" w:bidi="ar"/>
              </w:rPr>
              <w:t>各</w:t>
            </w:r>
            <w:r>
              <w:rPr>
                <w:rFonts w:hint="eastAsia" w:ascii="宋体" w:hAnsi="宋体" w:cs="宋体"/>
                <w:color w:val="000000"/>
                <w:kern w:val="0"/>
                <w:sz w:val="24"/>
                <w:lang w:eastAsia="zh-Hans" w:bidi="ar"/>
              </w:rPr>
              <w:t>计</w:t>
            </w:r>
            <w:r>
              <w:rPr>
                <w:rFonts w:hint="eastAsia" w:ascii="宋体" w:hAnsi="宋体" w:cs="宋体"/>
                <w:color w:val="000000"/>
                <w:kern w:val="0"/>
                <w:sz w:val="24"/>
                <w:lang w:val="en-US" w:eastAsia="zh-CN" w:bidi="ar"/>
              </w:rPr>
              <w:t>1</w:t>
            </w:r>
            <w:r>
              <w:rPr>
                <w:rFonts w:hint="eastAsia" w:ascii="宋体" w:hAnsi="宋体" w:cs="宋体"/>
                <w:color w:val="000000"/>
                <w:kern w:val="0"/>
                <w:sz w:val="24"/>
                <w:lang w:eastAsia="zh-Hans" w:bidi="ar"/>
              </w:rPr>
              <w:t>分；</w:t>
            </w:r>
          </w:p>
          <w:p>
            <w:pPr>
              <w:tabs>
                <w:tab w:val="left" w:pos="3423"/>
              </w:tabs>
              <w:spacing w:line="360" w:lineRule="auto"/>
              <w:rPr>
                <w:rFonts w:ascii="宋体" w:hAnsi="宋体" w:cs="宋体"/>
                <w:color w:val="000000"/>
                <w:kern w:val="0"/>
                <w:sz w:val="24"/>
                <w:lang w:bidi="ar"/>
              </w:rPr>
            </w:pPr>
            <w:r>
              <w:rPr>
                <w:rFonts w:hint="eastAsia" w:ascii="宋体" w:hAnsi="宋体" w:cs="宋体"/>
                <w:color w:val="000000"/>
                <w:kern w:val="0"/>
                <w:sz w:val="24"/>
                <w:lang w:bidi="ar"/>
              </w:rPr>
              <w:t>项目经理具有3个及以上类似项目的交付管理经验的，计2分。</w:t>
            </w:r>
          </w:p>
          <w:p>
            <w:pPr>
              <w:tabs>
                <w:tab w:val="left" w:pos="3423"/>
              </w:tabs>
              <w:spacing w:line="360" w:lineRule="auto"/>
              <w:rPr>
                <w:rFonts w:hAnsi="宋体" w:cs="宋体"/>
                <w:color w:val="000000"/>
                <w:kern w:val="0"/>
                <w:lang w:bidi="ar"/>
              </w:rPr>
            </w:pPr>
            <w:r>
              <w:rPr>
                <w:rFonts w:hint="eastAsia" w:ascii="宋体" w:hAnsi="宋体" w:cs="宋体"/>
                <w:color w:val="000000"/>
                <w:kern w:val="0"/>
                <w:sz w:val="24"/>
                <w:lang w:bidi="ar"/>
              </w:rPr>
              <w:t>（上述须提供证书或证明材料复印件，和</w:t>
            </w:r>
            <w:r>
              <w:rPr>
                <w:rFonts w:hint="eastAsia" w:ascii="宋体" w:hAnsi="宋体" w:cs="宋体"/>
                <w:color w:val="000000"/>
                <w:kern w:val="0"/>
                <w:sz w:val="24"/>
                <w:lang w:eastAsia="zh-CN" w:bidi="ar"/>
              </w:rPr>
              <w:t>供应商</w:t>
            </w:r>
            <w:r>
              <w:rPr>
                <w:rFonts w:hint="eastAsia" w:ascii="宋体" w:hAnsi="宋体" w:cs="宋体"/>
                <w:color w:val="000000"/>
                <w:kern w:val="0"/>
                <w:sz w:val="24"/>
                <w:lang w:bidi="ar"/>
              </w:rPr>
              <w:t>为该员工近半年内任意连续3个月缴纳社保的证明材料，均加盖</w:t>
            </w:r>
            <w:r>
              <w:rPr>
                <w:rFonts w:hint="eastAsia" w:ascii="宋体" w:hAnsi="宋体" w:cs="宋体"/>
                <w:color w:val="000000"/>
                <w:kern w:val="0"/>
                <w:sz w:val="24"/>
                <w:lang w:eastAsia="zh-CN" w:bidi="ar"/>
              </w:rPr>
              <w:t>供应商</w:t>
            </w:r>
            <w:r>
              <w:rPr>
                <w:rFonts w:hint="eastAsia" w:ascii="宋体" w:hAnsi="宋体" w:cs="宋体"/>
                <w:color w:val="000000"/>
                <w:kern w:val="0"/>
                <w:sz w:val="24"/>
                <w:lang w:bidi="ar"/>
              </w:rPr>
              <w:t>公章，否则不计分）</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jc w:val="center"/>
        </w:trPr>
        <w:tc>
          <w:tcPr>
            <w:tcW w:w="452" w:type="dxa"/>
            <w:tcBorders>
              <w:top w:val="single" w:color="auto" w:sz="4" w:space="0"/>
              <w:left w:val="single" w:color="auto" w:sz="4" w:space="0"/>
              <w:right w:val="single" w:color="auto" w:sz="4" w:space="0"/>
            </w:tcBorders>
            <w:vAlign w:val="center"/>
          </w:tcPr>
          <w:p>
            <w:pPr>
              <w:widowControl w:val="0"/>
              <w:spacing w:line="360" w:lineRule="auto"/>
              <w:jc w:val="center"/>
              <w:rPr>
                <w:rFonts w:ascii="宋体" w:hAnsi="宋体" w:cs="宋体"/>
                <w:color w:val="000000"/>
                <w:sz w:val="24"/>
              </w:rPr>
            </w:pPr>
            <w:r>
              <w:rPr>
                <w:rFonts w:hint="eastAsia" w:ascii="宋体" w:hAnsi="宋体" w:cs="宋体"/>
                <w:color w:val="000000"/>
                <w:sz w:val="24"/>
              </w:rPr>
              <w:t>3</w:t>
            </w:r>
          </w:p>
        </w:tc>
        <w:tc>
          <w:tcPr>
            <w:tcW w:w="1233" w:type="dxa"/>
            <w:tcBorders>
              <w:top w:val="single" w:color="auto" w:sz="4" w:space="0"/>
              <w:left w:val="single" w:color="auto" w:sz="4" w:space="0"/>
              <w:right w:val="single" w:color="auto" w:sz="4" w:space="0"/>
            </w:tcBorders>
            <w:vAlign w:val="center"/>
          </w:tcPr>
          <w:p>
            <w:pPr>
              <w:widowControl w:val="0"/>
              <w:spacing w:line="360" w:lineRule="auto"/>
              <w:jc w:val="center"/>
              <w:rPr>
                <w:rFonts w:ascii="宋体" w:hAnsi="宋体" w:cs="宋体"/>
                <w:color w:val="000000"/>
                <w:sz w:val="24"/>
              </w:rPr>
            </w:pPr>
            <w:r>
              <w:rPr>
                <w:rFonts w:hint="eastAsia" w:ascii="宋体" w:hAnsi="宋体" w:cs="宋体"/>
                <w:color w:val="000000"/>
                <w:sz w:val="24"/>
              </w:rPr>
              <w:t>售后服务方案及</w:t>
            </w:r>
          </w:p>
          <w:p>
            <w:pPr>
              <w:widowControl w:val="0"/>
              <w:spacing w:line="360" w:lineRule="auto"/>
              <w:jc w:val="center"/>
              <w:rPr>
                <w:rFonts w:ascii="宋体" w:hAnsi="宋体" w:cs="宋体"/>
                <w:color w:val="000000"/>
                <w:sz w:val="24"/>
              </w:rPr>
            </w:pPr>
            <w:r>
              <w:rPr>
                <w:rFonts w:hint="eastAsia" w:ascii="宋体" w:hAnsi="宋体" w:cs="宋体"/>
                <w:color w:val="000000"/>
                <w:sz w:val="24"/>
              </w:rPr>
              <w:t>服务承诺</w:t>
            </w:r>
          </w:p>
          <w:p>
            <w:pPr>
              <w:pStyle w:val="2"/>
              <w:spacing w:line="360" w:lineRule="auto"/>
              <w:ind w:firstLine="0"/>
              <w:rPr>
                <w:rFonts w:hAnsi="宋体" w:cs="宋体"/>
                <w:snapToGrid/>
                <w:color w:val="000000"/>
                <w:kern w:val="2"/>
                <w:szCs w:val="24"/>
              </w:rPr>
            </w:pPr>
            <w:r>
              <w:rPr>
                <w:rFonts w:hint="eastAsia" w:hAnsi="宋体" w:cs="宋体"/>
                <w:snapToGrid/>
                <w:color w:val="000000"/>
                <w:kern w:val="2"/>
                <w:szCs w:val="24"/>
              </w:rPr>
              <w:t>（6分）</w:t>
            </w:r>
          </w:p>
        </w:tc>
        <w:tc>
          <w:tcPr>
            <w:tcW w:w="624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textAlignment w:val="center"/>
              <w:rPr>
                <w:rFonts w:ascii="宋体" w:hAnsi="宋体" w:cs="宋体"/>
                <w:color w:val="000000"/>
                <w:sz w:val="24"/>
              </w:rPr>
            </w:pPr>
            <w:r>
              <w:rPr>
                <w:rFonts w:hint="eastAsia" w:ascii="宋体" w:hAnsi="宋体" w:cs="宋体"/>
                <w:color w:val="000000"/>
                <w:kern w:val="0"/>
                <w:sz w:val="24"/>
                <w:lang w:bidi="ar"/>
              </w:rPr>
              <w:t>根据</w:t>
            </w:r>
            <w:r>
              <w:rPr>
                <w:rFonts w:hint="eastAsia" w:ascii="宋体" w:hAnsi="宋体" w:cs="宋体"/>
                <w:color w:val="000000"/>
                <w:kern w:val="0"/>
                <w:sz w:val="24"/>
                <w:lang w:eastAsia="zh-CN" w:bidi="ar"/>
              </w:rPr>
              <w:t>供应商</w:t>
            </w:r>
            <w:r>
              <w:rPr>
                <w:rFonts w:hint="eastAsia" w:ascii="宋体" w:hAnsi="宋体" w:cs="宋体"/>
                <w:color w:val="000000"/>
                <w:kern w:val="0"/>
                <w:sz w:val="24"/>
                <w:lang w:bidi="ar"/>
              </w:rPr>
              <w:t>针对本项目的售后服务方案及服务承诺，包括但不限于：①售后服务团队、响应时间，②</w:t>
            </w:r>
            <w:r>
              <w:rPr>
                <w:rFonts w:hint="eastAsia" w:ascii="宋体" w:hAnsi="宋体" w:cs="宋体"/>
                <w:color w:val="000000"/>
                <w:sz w:val="24"/>
              </w:rPr>
              <w:t>承诺根据客户实际需求提供定制化开发服务，进行综合打分：</w:t>
            </w:r>
          </w:p>
          <w:p>
            <w:pPr>
              <w:spacing w:line="360" w:lineRule="auto"/>
              <w:ind w:firstLine="480" w:firstLineChars="200"/>
              <w:textAlignment w:val="center"/>
              <w:rPr>
                <w:rFonts w:ascii="宋体" w:hAnsi="宋体" w:cs="宋体"/>
                <w:color w:val="000000"/>
                <w:kern w:val="0"/>
                <w:sz w:val="24"/>
                <w:lang w:bidi="ar"/>
              </w:rPr>
            </w:pPr>
            <w:r>
              <w:rPr>
                <w:rFonts w:hint="eastAsia" w:ascii="宋体" w:hAnsi="宋体" w:cs="宋体"/>
                <w:color w:val="000000"/>
                <w:kern w:val="0"/>
                <w:sz w:val="24"/>
                <w:lang w:bidi="ar"/>
              </w:rPr>
              <w:t>售后服务方案科学合理、可操作性强，服务承诺内容完整、表述清晰的，计6分；</w:t>
            </w:r>
          </w:p>
          <w:p>
            <w:pPr>
              <w:spacing w:line="360" w:lineRule="auto"/>
              <w:ind w:firstLine="480" w:firstLineChars="200"/>
              <w:textAlignment w:val="center"/>
              <w:rPr>
                <w:rFonts w:ascii="宋体" w:hAnsi="宋体" w:cs="宋体"/>
                <w:color w:val="000000"/>
                <w:kern w:val="0"/>
                <w:sz w:val="24"/>
                <w:lang w:bidi="ar"/>
              </w:rPr>
            </w:pPr>
            <w:r>
              <w:rPr>
                <w:rFonts w:hint="eastAsia" w:ascii="宋体" w:hAnsi="宋体" w:cs="宋体"/>
                <w:color w:val="000000"/>
                <w:kern w:val="0"/>
                <w:sz w:val="24"/>
                <w:lang w:bidi="ar"/>
              </w:rPr>
              <w:t>售后服务方案较科学合理、可操作性较强，服务承诺内容较完整、表述较清晰的，计4分；</w:t>
            </w:r>
          </w:p>
          <w:p>
            <w:pPr>
              <w:spacing w:line="360" w:lineRule="auto"/>
              <w:ind w:firstLine="480" w:firstLineChars="200"/>
              <w:textAlignment w:val="center"/>
              <w:rPr>
                <w:rFonts w:ascii="宋体" w:hAnsi="宋体" w:cs="宋体"/>
                <w:color w:val="000000"/>
                <w:kern w:val="0"/>
                <w:sz w:val="24"/>
                <w:lang w:bidi="ar"/>
              </w:rPr>
            </w:pPr>
            <w:r>
              <w:rPr>
                <w:rFonts w:hint="eastAsia" w:ascii="宋体" w:hAnsi="宋体" w:cs="宋体"/>
                <w:color w:val="000000"/>
                <w:kern w:val="0"/>
                <w:sz w:val="24"/>
                <w:lang w:bidi="ar"/>
              </w:rPr>
              <w:t>售后服务方案基本合理、可操作性一般，服务承诺内容基本完整的，计2分；</w:t>
            </w:r>
          </w:p>
          <w:p>
            <w:pPr>
              <w:spacing w:line="360" w:lineRule="auto"/>
              <w:ind w:firstLine="480" w:firstLineChars="200"/>
              <w:textAlignment w:val="center"/>
              <w:rPr>
                <w:rFonts w:ascii="宋体" w:hAnsi="宋体" w:cs="宋体"/>
                <w:color w:val="000000"/>
                <w:kern w:val="0"/>
                <w:sz w:val="24"/>
                <w:lang w:bidi="ar"/>
              </w:rPr>
            </w:pPr>
            <w:r>
              <w:rPr>
                <w:rFonts w:hint="eastAsia" w:ascii="宋体" w:hAnsi="宋体" w:cs="宋体"/>
                <w:color w:val="000000"/>
                <w:kern w:val="0"/>
                <w:sz w:val="24"/>
                <w:lang w:bidi="ar"/>
              </w:rPr>
              <w:t>售后服务方案较差，服务承诺不全的，计1分；</w:t>
            </w:r>
          </w:p>
          <w:p>
            <w:pPr>
              <w:spacing w:line="360" w:lineRule="auto"/>
              <w:ind w:firstLine="480" w:firstLineChars="200"/>
              <w:textAlignment w:val="center"/>
              <w:rPr>
                <w:rFonts w:ascii="宋体" w:hAnsi="宋体" w:cs="宋体"/>
                <w:color w:val="000000"/>
                <w:kern w:val="0"/>
                <w:sz w:val="24"/>
                <w:lang w:bidi="ar"/>
              </w:rPr>
            </w:pPr>
            <w:r>
              <w:rPr>
                <w:rFonts w:hint="eastAsia" w:ascii="宋体" w:hAnsi="宋体" w:cs="宋体"/>
                <w:color w:val="000000"/>
                <w:kern w:val="0"/>
                <w:sz w:val="24"/>
                <w:lang w:bidi="ar"/>
              </w:rPr>
              <w:t>未提供的不计分。</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spacing w:line="360" w:lineRule="auto"/>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
                <w:color w:val="000000"/>
                <w:kern w:val="0"/>
                <w:sz w:val="22"/>
                <w:szCs w:val="22"/>
              </w:rPr>
              <w:t>合    计</w:t>
            </w:r>
          </w:p>
        </w:tc>
        <w:tc>
          <w:tcPr>
            <w:tcW w:w="624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20分</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p>
        </w:tc>
      </w:tr>
    </w:tbl>
    <w:p>
      <w:pPr>
        <w:widowControl w:val="0"/>
        <w:adjustRightInd w:val="0"/>
        <w:snapToGrid w:val="0"/>
        <w:spacing w:line="360" w:lineRule="auto"/>
        <w:jc w:val="both"/>
        <w:rPr>
          <w:rFonts w:ascii="宋体" w:hAnsi="宋体"/>
          <w:szCs w:val="21"/>
        </w:rPr>
      </w:pPr>
      <w:r>
        <w:rPr>
          <w:rFonts w:hint="eastAsia" w:ascii="宋体" w:hAnsi="宋体"/>
          <w:b/>
          <w:kern w:val="0"/>
          <w:szCs w:val="21"/>
        </w:rPr>
        <w:t>注：</w:t>
      </w:r>
      <w:r>
        <w:rPr>
          <w:rFonts w:hint="eastAsia" w:ascii="宋体" w:hAnsi="宋体"/>
          <w:kern w:val="0"/>
          <w:szCs w:val="21"/>
        </w:rPr>
        <w:t xml:space="preserve"> 1、</w:t>
      </w:r>
      <w:r>
        <w:rPr>
          <w:rFonts w:hint="eastAsia" w:ascii="宋体" w:hAnsi="宋体"/>
          <w:szCs w:val="21"/>
        </w:rPr>
        <w:t>本表由评审小组集体评议，统一计分。评审小组成员中对结论有不同意见时，按少数服从多数的原则，确定得分。</w:t>
      </w:r>
    </w:p>
    <w:p>
      <w:pPr>
        <w:widowControl w:val="0"/>
        <w:spacing w:line="360" w:lineRule="auto"/>
        <w:jc w:val="both"/>
        <w:rPr>
          <w:rFonts w:ascii="宋体" w:hAnsi="宋体"/>
          <w:sz w:val="24"/>
        </w:rPr>
      </w:pPr>
    </w:p>
    <w:p>
      <w:pPr>
        <w:widowControl w:val="0"/>
        <w:spacing w:line="360" w:lineRule="auto"/>
        <w:jc w:val="both"/>
        <w:rPr>
          <w:rFonts w:ascii="宋体" w:hAnsi="宋体"/>
          <w:bCs/>
          <w:sz w:val="24"/>
        </w:rPr>
      </w:pPr>
      <w:r>
        <w:rPr>
          <w:rFonts w:hint="eastAsia" w:ascii="宋体" w:hAnsi="宋体"/>
          <w:sz w:val="24"/>
        </w:rPr>
        <w:t>评审小组</w:t>
      </w:r>
      <w:r>
        <w:rPr>
          <w:rFonts w:ascii="宋体" w:hAnsi="宋体"/>
          <w:sz w:val="24"/>
        </w:rPr>
        <w:t>全体成员签字：</w:t>
      </w:r>
      <w:r>
        <w:rPr>
          <w:rFonts w:hint="eastAsia" w:ascii="宋体" w:hAnsi="宋体"/>
          <w:sz w:val="24"/>
        </w:rPr>
        <w:t xml:space="preserve">                                监督人员签字：</w:t>
      </w:r>
    </w:p>
    <w:p>
      <w:pPr>
        <w:spacing w:line="360" w:lineRule="auto"/>
        <w:rPr>
          <w:rFonts w:ascii="黑体" w:hAnsi="黑体" w:eastAsia="黑体"/>
          <w:sz w:val="32"/>
          <w:szCs w:val="32"/>
        </w:rPr>
      </w:pPr>
      <w:bookmarkStart w:id="15" w:name="_Toc77254135"/>
      <w:bookmarkStart w:id="16" w:name="_Toc76635714"/>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 xml:space="preserve">附表2 </w:t>
      </w:r>
    </w:p>
    <w:p>
      <w:pPr>
        <w:widowControl w:val="0"/>
        <w:snapToGrid w:val="0"/>
        <w:spacing w:line="360" w:lineRule="auto"/>
        <w:jc w:val="center"/>
        <w:outlineLvl w:val="2"/>
        <w:rPr>
          <w:rFonts w:ascii="宋体" w:hAnsi="宋体"/>
          <w:kern w:val="0"/>
          <w:sz w:val="24"/>
        </w:rPr>
      </w:pPr>
      <w:r>
        <w:rPr>
          <w:rFonts w:hint="eastAsia" w:ascii="黑体" w:hAnsi="黑体" w:eastAsia="黑体"/>
          <w:sz w:val="32"/>
          <w:szCs w:val="32"/>
        </w:rPr>
        <w:t>技术</w:t>
      </w:r>
      <w:bookmarkEnd w:id="15"/>
      <w:bookmarkEnd w:id="16"/>
      <w:r>
        <w:rPr>
          <w:rFonts w:hint="eastAsia" w:ascii="黑体" w:hAnsi="黑体" w:eastAsia="黑体"/>
          <w:sz w:val="32"/>
          <w:szCs w:val="32"/>
        </w:rPr>
        <w:t>部分评分表</w:t>
      </w:r>
    </w:p>
    <w:p>
      <w:pPr>
        <w:snapToGrid w:val="0"/>
        <w:spacing w:line="360" w:lineRule="auto"/>
        <w:jc w:val="both"/>
        <w:rPr>
          <w:rFonts w:ascii="宋体" w:hAnsi="宋体" w:cs="宋体"/>
          <w:bCs/>
          <w:kern w:val="0"/>
          <w:sz w:val="24"/>
          <w:u w:val="single"/>
        </w:rPr>
      </w:pPr>
      <w:r>
        <w:rPr>
          <w:rFonts w:hint="eastAsia" w:ascii="宋体" w:hAnsi="宋体"/>
          <w:kern w:val="0"/>
          <w:sz w:val="24"/>
        </w:rPr>
        <w:t>项目名称：</w:t>
      </w:r>
      <w:r>
        <w:rPr>
          <w:rFonts w:hint="eastAsia" w:ascii="宋体" w:hAnsi="宋体" w:cs="宋体"/>
          <w:bCs/>
          <w:sz w:val="24"/>
          <w:u w:val="single"/>
        </w:rPr>
        <w:t>岳阳</w:t>
      </w:r>
      <w:r>
        <w:rPr>
          <w:rFonts w:ascii="宋体" w:hAnsi="宋体" w:cs="宋体"/>
          <w:bCs/>
          <w:sz w:val="24"/>
          <w:u w:val="single"/>
        </w:rPr>
        <w:t>城陵矶新港有限</w:t>
      </w:r>
      <w:r>
        <w:rPr>
          <w:rFonts w:hint="eastAsia" w:ascii="宋体" w:hAnsi="宋体" w:cs="宋体"/>
          <w:bCs/>
          <w:sz w:val="24"/>
          <w:u w:val="single"/>
        </w:rPr>
        <w:t>公司</w:t>
      </w:r>
      <w:r>
        <w:rPr>
          <w:rFonts w:hint="eastAsia" w:ascii="宋体" w:hAnsi="宋体" w:cs="宋体"/>
          <w:bCs/>
          <w:snapToGrid w:val="0"/>
          <w:sz w:val="24"/>
          <w:u w:val="single"/>
        </w:rPr>
        <w:t>信息化综合故障检测系统采购</w:t>
      </w:r>
    </w:p>
    <w:tbl>
      <w:tblPr>
        <w:tblStyle w:val="39"/>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585"/>
        <w:gridCol w:w="3987"/>
        <w:gridCol w:w="997"/>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blHeader/>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序号</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评分因素</w:t>
            </w:r>
          </w:p>
        </w:tc>
        <w:tc>
          <w:tcPr>
            <w:tcW w:w="4984"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评分标准</w:t>
            </w:r>
            <w:r>
              <w:rPr>
                <w:rFonts w:hint="eastAsia" w:asciiTheme="minorEastAsia" w:hAnsiTheme="minorEastAsia" w:eastAsiaTheme="minorEastAsia" w:cstheme="minorEastAsia"/>
                <w:b/>
                <w:sz w:val="22"/>
                <w:szCs w:val="22"/>
              </w:rPr>
              <w:t>/分值</w:t>
            </w:r>
          </w:p>
        </w:tc>
        <w:tc>
          <w:tcPr>
            <w:tcW w:w="1343" w:type="dxa"/>
            <w:tcBorders>
              <w:top w:val="single" w:color="auto" w:sz="4" w:space="0"/>
              <w:left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sz w:val="22"/>
                <w:szCs w:val="22"/>
              </w:rPr>
              <w:t>供应商名称/得分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响应程度</w:t>
            </w:r>
          </w:p>
        </w:tc>
        <w:tc>
          <w:tcPr>
            <w:tcW w:w="398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ind w:firstLine="210" w:firstLineChars="100"/>
              <w:rPr>
                <w:rFonts w:asciiTheme="minorEastAsia" w:hAnsiTheme="minorEastAsia" w:eastAsiaTheme="minorEastAsia" w:cstheme="minorEastAsia"/>
                <w:sz w:val="21"/>
                <w:szCs w:val="21"/>
              </w:rPr>
            </w:pPr>
            <w:r>
              <w:rPr>
                <w:rFonts w:hint="eastAsia" w:ascii="宋体" w:hAnsi="宋体" w:cs="仿宋"/>
                <w:kern w:val="0"/>
                <w:sz w:val="21"/>
                <w:szCs w:val="21"/>
              </w:rPr>
              <w:t>以</w:t>
            </w:r>
            <w:r>
              <w:rPr>
                <w:rFonts w:hint="eastAsia" w:ascii="宋体" w:hAnsi="宋体" w:cs="仿宋"/>
                <w:kern w:val="0"/>
                <w:sz w:val="21"/>
                <w:szCs w:val="21"/>
                <w:lang w:eastAsia="zh-CN"/>
              </w:rPr>
              <w:t>采购文件</w:t>
            </w:r>
            <w:r>
              <w:rPr>
                <w:rFonts w:hint="eastAsia" w:ascii="宋体" w:hAnsi="宋体" w:cs="仿宋"/>
                <w:kern w:val="0"/>
                <w:sz w:val="21"/>
                <w:szCs w:val="21"/>
              </w:rPr>
              <w:t>“第五章 采购需求”为基准，完全满足</w:t>
            </w:r>
            <w:r>
              <w:rPr>
                <w:rFonts w:hint="eastAsia" w:ascii="宋体" w:hAnsi="宋体" w:cs="仿宋"/>
                <w:kern w:val="0"/>
                <w:sz w:val="21"/>
                <w:szCs w:val="21"/>
                <w:lang w:eastAsia="zh-CN"/>
              </w:rPr>
              <w:t>采购文件</w:t>
            </w:r>
            <w:r>
              <w:rPr>
                <w:rFonts w:hint="eastAsia" w:ascii="宋体" w:hAnsi="宋体" w:cs="仿宋"/>
                <w:kern w:val="0"/>
                <w:sz w:val="21"/>
                <w:szCs w:val="21"/>
              </w:rPr>
              <w:t>技术指标的计</w:t>
            </w:r>
            <w:r>
              <w:rPr>
                <w:rFonts w:ascii="宋体" w:hAnsi="宋体" w:cs="仿宋"/>
                <w:kern w:val="0"/>
                <w:sz w:val="21"/>
                <w:szCs w:val="21"/>
              </w:rPr>
              <w:t>10</w:t>
            </w:r>
            <w:r>
              <w:rPr>
                <w:rFonts w:hint="eastAsia" w:ascii="宋体" w:hAnsi="宋体" w:cs="仿宋"/>
                <w:kern w:val="0"/>
                <w:sz w:val="21"/>
                <w:szCs w:val="21"/>
              </w:rPr>
              <w:t>分；缺漏或负偏离或未按要求提供证明材料的，每项扣</w:t>
            </w:r>
            <w:r>
              <w:rPr>
                <w:rFonts w:ascii="宋体" w:hAnsi="宋体" w:cs="仿宋"/>
                <w:kern w:val="0"/>
                <w:sz w:val="21"/>
                <w:szCs w:val="21"/>
              </w:rPr>
              <w:t>1</w:t>
            </w:r>
            <w:r>
              <w:rPr>
                <w:rFonts w:hint="eastAsia" w:ascii="宋体" w:hAnsi="宋体" w:cs="仿宋"/>
                <w:kern w:val="0"/>
                <w:sz w:val="21"/>
                <w:szCs w:val="21"/>
              </w:rPr>
              <w:t>分，扣完为止；</w:t>
            </w:r>
            <w:r>
              <w:rPr>
                <w:rFonts w:hint="eastAsia" w:ascii="宋体" w:hAnsi="宋体" w:cs="仿宋"/>
                <w:kern w:val="0"/>
                <w:sz w:val="21"/>
                <w:szCs w:val="21"/>
                <w:lang w:val="en-US" w:eastAsia="zh-CN"/>
              </w:rPr>
              <w:t>不提供</w:t>
            </w:r>
            <w:r>
              <w:rPr>
                <w:rFonts w:hint="eastAsia" w:ascii="宋体" w:hAnsi="宋体" w:cs="仿宋"/>
                <w:kern w:val="0"/>
                <w:sz w:val="21"/>
                <w:szCs w:val="21"/>
              </w:rPr>
              <w:t>《技术响应与偏离表》的，本项不计分。</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1</w:t>
            </w:r>
            <w:r>
              <w:rPr>
                <w:rFonts w:ascii="宋体" w:hAnsi="宋体" w:cs="宋体"/>
                <w:color w:val="000000"/>
                <w:kern w:val="0"/>
                <w:sz w:val="21"/>
                <w:szCs w:val="21"/>
                <w:lang w:bidi="ar"/>
              </w:rPr>
              <w:t>0</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需求理解</w:t>
            </w:r>
          </w:p>
        </w:tc>
        <w:tc>
          <w:tcPr>
            <w:tcW w:w="398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根据</w:t>
            </w:r>
            <w:r>
              <w:rPr>
                <w:rFonts w:hint="eastAsia" w:ascii="宋体" w:hAnsi="宋体" w:cs="宋体"/>
                <w:color w:val="000000"/>
                <w:kern w:val="0"/>
                <w:sz w:val="21"/>
                <w:szCs w:val="21"/>
                <w:lang w:eastAsia="zh-CN" w:bidi="ar"/>
              </w:rPr>
              <w:t>供应商</w:t>
            </w:r>
            <w:r>
              <w:rPr>
                <w:rFonts w:hint="eastAsia" w:ascii="宋体" w:hAnsi="宋体" w:cs="宋体"/>
                <w:color w:val="000000"/>
                <w:kern w:val="0"/>
                <w:sz w:val="21"/>
                <w:szCs w:val="21"/>
                <w:lang w:bidi="ar"/>
              </w:rPr>
              <w:t>对本项目的需求理解，包括但不限于项目边界、开发重点难点，以及相应解决方案、整体规划思路。方案应充分考虑采购人未来业务与技术管理发展的需要,根据理解程度及规划方案的合理性进行综合打分：</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对需求理解全面深入，充分结合了采购人的业务需求，对当前需求和未来规划有清晰明确的阐述，规划建设方案合理的，计5分；</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对需求理解全面深入，与采购人实际业务需求结合度一般、对未来的整体规划不够清晰，规划建设方案一般的，计2分；</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对需求理解和规划建设方案较差的，计</w:t>
            </w:r>
            <w:r>
              <w:rPr>
                <w:rFonts w:ascii="宋体" w:hAnsi="宋体" w:cs="宋体"/>
                <w:color w:val="000000"/>
                <w:kern w:val="0"/>
                <w:sz w:val="21"/>
                <w:szCs w:val="21"/>
                <w:lang w:bidi="ar"/>
              </w:rPr>
              <w:t>1</w:t>
            </w:r>
            <w:r>
              <w:rPr>
                <w:rFonts w:hint="eastAsia" w:ascii="宋体" w:hAnsi="宋体" w:cs="宋体"/>
                <w:color w:val="000000"/>
                <w:kern w:val="0"/>
                <w:sz w:val="21"/>
                <w:szCs w:val="21"/>
                <w:lang w:bidi="ar"/>
              </w:rPr>
              <w:t>分；</w:t>
            </w:r>
          </w:p>
          <w:p>
            <w:pPr>
              <w:widowControl w:val="0"/>
              <w:adjustRightInd w:val="0"/>
              <w:snapToGrid w:val="0"/>
              <w:spacing w:line="360" w:lineRule="auto"/>
              <w:ind w:firstLine="210" w:firstLineChars="100"/>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未提供的不计分。</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技术总方案</w:t>
            </w:r>
          </w:p>
        </w:tc>
        <w:tc>
          <w:tcPr>
            <w:tcW w:w="398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textAlignment w:val="center"/>
              <w:rPr>
                <w:rStyle w:val="189"/>
                <w:sz w:val="21"/>
                <w:szCs w:val="21"/>
                <w:lang w:bidi="ar"/>
              </w:rPr>
            </w:pPr>
            <w:r>
              <w:rPr>
                <w:rStyle w:val="189"/>
                <w:rFonts w:hint="eastAsia"/>
                <w:sz w:val="21"/>
                <w:szCs w:val="21"/>
                <w:lang w:bidi="ar"/>
              </w:rPr>
              <w:t>根据</w:t>
            </w:r>
            <w:r>
              <w:rPr>
                <w:rStyle w:val="189"/>
                <w:rFonts w:hint="eastAsia"/>
                <w:sz w:val="21"/>
                <w:szCs w:val="21"/>
                <w:lang w:eastAsia="zh-CN" w:bidi="ar"/>
              </w:rPr>
              <w:t>供应商</w:t>
            </w:r>
            <w:r>
              <w:rPr>
                <w:rStyle w:val="189"/>
                <w:rFonts w:hint="eastAsia"/>
                <w:sz w:val="21"/>
                <w:szCs w:val="21"/>
                <w:lang w:bidi="ar"/>
              </w:rPr>
              <w:t>针对本项目的技术方案总设计，包括但不限于整体技术架构设计、基础数据及处理功能、平台开放性与扩展性等，进行综合评分：</w:t>
            </w:r>
          </w:p>
          <w:p>
            <w:pPr>
              <w:spacing w:line="360" w:lineRule="auto"/>
              <w:ind w:firstLine="420" w:firstLineChars="200"/>
              <w:textAlignment w:val="center"/>
              <w:rPr>
                <w:rStyle w:val="189"/>
                <w:sz w:val="21"/>
                <w:szCs w:val="21"/>
                <w:lang w:bidi="ar"/>
              </w:rPr>
            </w:pPr>
            <w:r>
              <w:rPr>
                <w:rStyle w:val="189"/>
                <w:rFonts w:hint="eastAsia"/>
                <w:sz w:val="21"/>
                <w:szCs w:val="21"/>
                <w:lang w:bidi="ar"/>
              </w:rPr>
              <w:t>设计合理、架构先进、基础数据及处理功能全面强大,平台具有很高的开放性、扩展性的，计5分；</w:t>
            </w:r>
          </w:p>
          <w:p>
            <w:pPr>
              <w:spacing w:line="360" w:lineRule="auto"/>
              <w:ind w:firstLine="420" w:firstLineChars="200"/>
              <w:textAlignment w:val="center"/>
              <w:rPr>
                <w:rStyle w:val="189"/>
                <w:sz w:val="21"/>
                <w:szCs w:val="21"/>
                <w:lang w:bidi="ar"/>
              </w:rPr>
            </w:pPr>
            <w:r>
              <w:rPr>
                <w:rStyle w:val="189"/>
                <w:rFonts w:hint="eastAsia"/>
                <w:sz w:val="21"/>
                <w:szCs w:val="21"/>
                <w:lang w:bidi="ar"/>
              </w:rPr>
              <w:t>技术方案一般、平台开放性、扩展性一般，基础数据及处理功能一般的，计2分；</w:t>
            </w:r>
          </w:p>
          <w:p>
            <w:pPr>
              <w:spacing w:line="360" w:lineRule="auto"/>
              <w:ind w:firstLine="420" w:firstLineChars="200"/>
              <w:textAlignment w:val="center"/>
              <w:rPr>
                <w:rStyle w:val="189"/>
                <w:sz w:val="21"/>
                <w:szCs w:val="21"/>
                <w:lang w:bidi="ar"/>
              </w:rPr>
            </w:pPr>
            <w:r>
              <w:rPr>
                <w:rStyle w:val="189"/>
                <w:rFonts w:hint="eastAsia"/>
                <w:sz w:val="21"/>
                <w:szCs w:val="21"/>
                <w:lang w:bidi="ar"/>
              </w:rPr>
              <w:t>技术方案较差、平台开放性、扩展性较差，基础数据及处理功能较差的，计</w:t>
            </w:r>
            <w:r>
              <w:rPr>
                <w:rStyle w:val="189"/>
                <w:sz w:val="21"/>
                <w:szCs w:val="21"/>
                <w:lang w:bidi="ar"/>
              </w:rPr>
              <w:t>1</w:t>
            </w:r>
            <w:r>
              <w:rPr>
                <w:rStyle w:val="189"/>
                <w:rFonts w:hint="eastAsia"/>
                <w:sz w:val="21"/>
                <w:szCs w:val="21"/>
                <w:lang w:bidi="ar"/>
              </w:rPr>
              <w:t>分；</w:t>
            </w:r>
          </w:p>
          <w:p>
            <w:pPr>
              <w:widowControl w:val="0"/>
              <w:adjustRightInd w:val="0"/>
              <w:snapToGrid w:val="0"/>
              <w:spacing w:line="360" w:lineRule="auto"/>
              <w:ind w:firstLine="210" w:firstLineChars="100"/>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未提供的不计分。</w:t>
            </w:r>
            <w:r>
              <w:rPr>
                <w:rStyle w:val="189"/>
                <w:sz w:val="21"/>
                <w:szCs w:val="21"/>
                <w:lang w:bidi="ar"/>
              </w:rPr>
              <w:t xml:space="preserve">                                          </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5</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 xml:space="preserve">项目实施总方案 </w:t>
            </w:r>
          </w:p>
        </w:tc>
        <w:tc>
          <w:tcPr>
            <w:tcW w:w="398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textAlignment w:val="center"/>
              <w:rPr>
                <w:rStyle w:val="189"/>
                <w:sz w:val="21"/>
                <w:szCs w:val="21"/>
                <w:lang w:bidi="ar"/>
              </w:rPr>
            </w:pPr>
            <w:r>
              <w:rPr>
                <w:rStyle w:val="189"/>
                <w:rFonts w:hint="eastAsia"/>
                <w:sz w:val="21"/>
                <w:szCs w:val="21"/>
                <w:lang w:bidi="ar"/>
              </w:rPr>
              <w:t>根据</w:t>
            </w:r>
            <w:r>
              <w:rPr>
                <w:rStyle w:val="189"/>
                <w:rFonts w:hint="eastAsia"/>
                <w:sz w:val="21"/>
                <w:szCs w:val="21"/>
                <w:lang w:eastAsia="zh-CN" w:bidi="ar"/>
              </w:rPr>
              <w:t>供应商</w:t>
            </w:r>
            <w:r>
              <w:rPr>
                <w:rStyle w:val="189"/>
                <w:rFonts w:hint="eastAsia"/>
                <w:sz w:val="21"/>
                <w:szCs w:val="21"/>
                <w:lang w:bidi="ar"/>
              </w:rPr>
              <w:t>针对本项目的实施方案，包括但不限于开发</w:t>
            </w:r>
            <w:r>
              <w:rPr>
                <w:rStyle w:val="189"/>
                <w:sz w:val="21"/>
                <w:szCs w:val="21"/>
                <w:lang w:bidi="ar"/>
              </w:rPr>
              <w:t>实施计划</w:t>
            </w:r>
            <w:r>
              <w:rPr>
                <w:rStyle w:val="189"/>
                <w:rFonts w:hint="eastAsia"/>
                <w:sz w:val="21"/>
                <w:szCs w:val="21"/>
                <w:lang w:bidi="ar"/>
              </w:rPr>
              <w:t>（含</w:t>
            </w:r>
            <w:r>
              <w:rPr>
                <w:rStyle w:val="189"/>
                <w:sz w:val="21"/>
                <w:szCs w:val="21"/>
                <w:lang w:bidi="ar"/>
              </w:rPr>
              <w:t>项目实施周期、进度表</w:t>
            </w:r>
            <w:r>
              <w:rPr>
                <w:rStyle w:val="189"/>
                <w:rFonts w:hint="eastAsia"/>
                <w:sz w:val="21"/>
                <w:szCs w:val="21"/>
                <w:lang w:bidi="ar"/>
              </w:rPr>
              <w:t>）、开发团队架构及人员配置、</w:t>
            </w:r>
            <w:r>
              <w:rPr>
                <w:rStyle w:val="189"/>
                <w:sz w:val="21"/>
                <w:szCs w:val="21"/>
                <w:lang w:bidi="ar"/>
              </w:rPr>
              <w:t>质量控制方案</w:t>
            </w:r>
            <w:r>
              <w:rPr>
                <w:rStyle w:val="189"/>
                <w:rFonts w:hint="eastAsia"/>
                <w:sz w:val="21"/>
                <w:szCs w:val="21"/>
                <w:lang w:bidi="ar"/>
              </w:rPr>
              <w:t>、</w:t>
            </w:r>
            <w:r>
              <w:rPr>
                <w:rStyle w:val="189"/>
                <w:sz w:val="21"/>
                <w:szCs w:val="21"/>
                <w:lang w:bidi="ar"/>
              </w:rPr>
              <w:t>技术支持方案</w:t>
            </w:r>
            <w:r>
              <w:rPr>
                <w:rStyle w:val="189"/>
                <w:rFonts w:hint="eastAsia"/>
                <w:sz w:val="21"/>
                <w:szCs w:val="21"/>
                <w:lang w:bidi="ar"/>
              </w:rPr>
              <w:t>、</w:t>
            </w:r>
            <w:r>
              <w:rPr>
                <w:rStyle w:val="189"/>
                <w:sz w:val="21"/>
                <w:szCs w:val="21"/>
                <w:lang w:bidi="ar"/>
              </w:rPr>
              <w:t>应急处理方案</w:t>
            </w:r>
            <w:r>
              <w:rPr>
                <w:rStyle w:val="189"/>
                <w:rFonts w:hint="eastAsia"/>
                <w:sz w:val="21"/>
                <w:szCs w:val="21"/>
                <w:lang w:bidi="ar"/>
              </w:rPr>
              <w:t>、</w:t>
            </w:r>
            <w:r>
              <w:rPr>
                <w:rStyle w:val="189"/>
                <w:sz w:val="21"/>
                <w:szCs w:val="21"/>
                <w:lang w:bidi="ar"/>
              </w:rPr>
              <w:t>培训方案</w:t>
            </w:r>
            <w:r>
              <w:rPr>
                <w:rStyle w:val="189"/>
                <w:rFonts w:hint="eastAsia"/>
                <w:sz w:val="21"/>
                <w:szCs w:val="21"/>
                <w:lang w:bidi="ar"/>
              </w:rPr>
              <w:t>等，进行综合打分：</w:t>
            </w:r>
            <w:r>
              <w:rPr>
                <w:rStyle w:val="189"/>
                <w:sz w:val="21"/>
                <w:szCs w:val="21"/>
                <w:lang w:bidi="ar"/>
              </w:rPr>
              <w:t xml:space="preserve"> </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实施方案内容完善、科学合理、表述完整、实施策略先进，交付质量和时间有保障的，计5分；</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方案内容基本完善、合理但不够具体、交付质量和时间可靠性一般的，计2分；</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方案欠完善、欠合理、可操作性较差的，计1分。</w:t>
            </w:r>
          </w:p>
          <w:p>
            <w:pPr>
              <w:widowControl w:val="0"/>
              <w:adjustRightInd w:val="0"/>
              <w:snapToGrid w:val="0"/>
              <w:spacing w:line="360" w:lineRule="auto"/>
              <w:ind w:firstLine="210" w:firstLineChars="100"/>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未提供的不计分。</w:t>
            </w:r>
            <w:r>
              <w:rPr>
                <w:rStyle w:val="189"/>
                <w:sz w:val="21"/>
                <w:szCs w:val="21"/>
                <w:lang w:bidi="ar"/>
              </w:rPr>
              <w:t xml:space="preserve"> </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5</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中心平台</w:t>
            </w:r>
            <w:r>
              <w:rPr>
                <w:rStyle w:val="189"/>
                <w:rFonts w:hint="eastAsia"/>
                <w:sz w:val="21"/>
                <w:szCs w:val="21"/>
                <w:lang w:bidi="ar"/>
              </w:rPr>
              <w:t>设计</w:t>
            </w:r>
          </w:p>
        </w:tc>
        <w:tc>
          <w:tcPr>
            <w:tcW w:w="398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textAlignment w:val="center"/>
              <w:rPr>
                <w:rStyle w:val="189"/>
                <w:sz w:val="21"/>
                <w:szCs w:val="21"/>
                <w:lang w:bidi="ar"/>
              </w:rPr>
            </w:pPr>
            <w:r>
              <w:rPr>
                <w:rStyle w:val="189"/>
                <w:rFonts w:hint="eastAsia"/>
                <w:sz w:val="21"/>
                <w:szCs w:val="21"/>
                <w:lang w:bidi="ar"/>
              </w:rPr>
              <w:t>对</w:t>
            </w:r>
            <w:r>
              <w:rPr>
                <w:rStyle w:val="189"/>
                <w:rFonts w:hint="eastAsia"/>
                <w:sz w:val="21"/>
                <w:szCs w:val="21"/>
                <w:lang w:eastAsia="zh-CN" w:bidi="ar"/>
              </w:rPr>
              <w:t>供应商</w:t>
            </w:r>
            <w:r>
              <w:rPr>
                <w:rStyle w:val="189"/>
                <w:rFonts w:hint="eastAsia"/>
                <w:sz w:val="21"/>
                <w:szCs w:val="21"/>
                <w:lang w:bidi="ar"/>
              </w:rPr>
              <w:t>的中心平台功能设计进行综合打分：</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统一门户设计合理、仪表盘功能完善、实时大数据平台高效开放的，计3分；</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统一门户设计基本合理、仪表盘功能基本具备、具备实时大数据平台处理能力的，计2分；</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统一门户设计欠合理、仪表盘功能欠完善、实时大数据平台处理较差的，计1分；</w:t>
            </w:r>
          </w:p>
          <w:p>
            <w:pPr>
              <w:widowControl w:val="0"/>
              <w:adjustRightInd w:val="0"/>
              <w:snapToGrid w:val="0"/>
              <w:spacing w:line="360" w:lineRule="auto"/>
              <w:ind w:firstLine="210" w:firstLineChars="100"/>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未提供的不计分。</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3</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eastAsia="zh-Hans" w:bidi="ar"/>
              </w:rPr>
              <w:t>全链路可观测追踪</w:t>
            </w:r>
            <w:r>
              <w:rPr>
                <w:rFonts w:hint="eastAsia" w:ascii="宋体" w:hAnsi="宋体" w:cs="宋体"/>
                <w:color w:val="000000"/>
                <w:kern w:val="0"/>
                <w:sz w:val="21"/>
                <w:szCs w:val="21"/>
                <w:lang w:bidi="ar"/>
              </w:rPr>
              <w:t xml:space="preserve">功能设计 </w:t>
            </w:r>
          </w:p>
        </w:tc>
        <w:tc>
          <w:tcPr>
            <w:tcW w:w="3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对</w:t>
            </w:r>
            <w:r>
              <w:rPr>
                <w:rFonts w:hint="eastAsia" w:ascii="宋体" w:hAnsi="宋体" w:cs="宋体"/>
                <w:color w:val="000000"/>
                <w:kern w:val="0"/>
                <w:sz w:val="21"/>
                <w:szCs w:val="21"/>
                <w:lang w:eastAsia="zh-CN" w:bidi="ar"/>
              </w:rPr>
              <w:t>供应商</w:t>
            </w:r>
            <w:r>
              <w:rPr>
                <w:rFonts w:hint="eastAsia" w:ascii="宋体" w:hAnsi="宋体" w:cs="宋体"/>
                <w:color w:val="000000"/>
                <w:kern w:val="0"/>
                <w:sz w:val="21"/>
                <w:szCs w:val="21"/>
                <w:lang w:bidi="ar"/>
              </w:rPr>
              <w:t>的</w:t>
            </w:r>
            <w:r>
              <w:rPr>
                <w:rFonts w:hint="eastAsia" w:ascii="宋体" w:hAnsi="宋体" w:cs="宋体"/>
                <w:color w:val="000000"/>
                <w:kern w:val="0"/>
                <w:sz w:val="21"/>
                <w:szCs w:val="21"/>
                <w:lang w:eastAsia="zh-Hans" w:bidi="ar"/>
              </w:rPr>
              <w:t>全链路可观测追踪</w:t>
            </w:r>
            <w:r>
              <w:rPr>
                <w:rFonts w:hint="eastAsia" w:ascii="宋体" w:hAnsi="宋体" w:cs="宋体"/>
                <w:color w:val="000000"/>
                <w:kern w:val="0"/>
                <w:sz w:val="21"/>
                <w:szCs w:val="21"/>
                <w:lang w:bidi="ar"/>
              </w:rPr>
              <w:t>功能设计进行综合打分</w:t>
            </w:r>
            <w:r>
              <w:rPr>
                <w:rFonts w:ascii="宋体" w:hAnsi="宋体" w:cs="宋体"/>
                <w:color w:val="000000"/>
                <w:kern w:val="0"/>
                <w:sz w:val="21"/>
                <w:szCs w:val="21"/>
                <w:lang w:bidi="ar"/>
              </w:rPr>
              <w:t>：</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eastAsia="zh-Hans" w:bidi="ar"/>
              </w:rPr>
              <w:t>数据采集方式丰富</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数据接口管理能力强</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支持物联网设备及能耗管理功能</w:t>
            </w:r>
            <w:r>
              <w:rPr>
                <w:rFonts w:ascii="宋体" w:hAnsi="宋体" w:cs="宋体"/>
                <w:color w:val="000000"/>
                <w:kern w:val="0"/>
                <w:sz w:val="21"/>
                <w:szCs w:val="21"/>
                <w:lang w:eastAsia="zh-Hans" w:bidi="ar"/>
              </w:rPr>
              <w:t>，最低轮询频率应不少于5秒</w:t>
            </w:r>
            <w:r>
              <w:rPr>
                <w:rFonts w:hint="eastAsia" w:ascii="宋体" w:hAnsi="宋体" w:cs="宋体"/>
                <w:color w:val="000000"/>
                <w:kern w:val="0"/>
                <w:sz w:val="21"/>
                <w:szCs w:val="21"/>
                <w:lang w:bidi="ar"/>
              </w:rPr>
              <w:t>，计3分；</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eastAsia="zh-Hans" w:bidi="ar"/>
              </w:rPr>
              <w:t>数据采集方式满足需求</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数据接口管理能力基本满足需求</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支持物联网设备及能耗管理功能</w:t>
            </w:r>
            <w:r>
              <w:rPr>
                <w:rFonts w:ascii="宋体" w:hAnsi="宋体" w:cs="宋体"/>
                <w:color w:val="000000"/>
                <w:kern w:val="0"/>
                <w:sz w:val="21"/>
                <w:szCs w:val="21"/>
                <w:lang w:eastAsia="zh-Hans" w:bidi="ar"/>
              </w:rPr>
              <w:t>，最低轮询频率</w:t>
            </w:r>
            <w:r>
              <w:rPr>
                <w:rFonts w:hint="eastAsia" w:ascii="宋体" w:hAnsi="宋体" w:cs="宋体"/>
                <w:color w:val="000000"/>
                <w:kern w:val="0"/>
                <w:sz w:val="21"/>
                <w:szCs w:val="21"/>
                <w:lang w:eastAsia="zh-Hans" w:bidi="ar"/>
              </w:rPr>
              <w:t>接近</w:t>
            </w:r>
            <w:r>
              <w:rPr>
                <w:rFonts w:ascii="宋体" w:hAnsi="宋体" w:cs="宋体"/>
                <w:color w:val="000000"/>
                <w:kern w:val="0"/>
                <w:sz w:val="21"/>
                <w:szCs w:val="21"/>
                <w:lang w:eastAsia="zh-Hans" w:bidi="ar"/>
              </w:rPr>
              <w:t>5</w:t>
            </w:r>
            <w:r>
              <w:rPr>
                <w:rFonts w:hint="eastAsia" w:ascii="宋体" w:hAnsi="宋体" w:cs="宋体"/>
                <w:color w:val="000000"/>
                <w:kern w:val="0"/>
                <w:sz w:val="21"/>
                <w:szCs w:val="21"/>
                <w:lang w:eastAsia="zh-Hans" w:bidi="ar"/>
              </w:rPr>
              <w:t>秒的</w:t>
            </w:r>
            <w:r>
              <w:rPr>
                <w:rFonts w:hint="eastAsia" w:ascii="宋体" w:hAnsi="宋体" w:cs="宋体"/>
                <w:color w:val="000000"/>
                <w:kern w:val="0"/>
                <w:sz w:val="21"/>
                <w:szCs w:val="21"/>
                <w:lang w:bidi="ar"/>
              </w:rPr>
              <w:t>，计2分；</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eastAsia="zh-Hans" w:bidi="ar"/>
              </w:rPr>
              <w:t>数据采集方式种类少</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数据接口管理能力弱</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物联网设备及能耗管理功能欠缺的</w:t>
            </w:r>
            <w:r>
              <w:rPr>
                <w:rFonts w:ascii="宋体" w:hAnsi="宋体" w:cs="宋体"/>
                <w:color w:val="000000"/>
                <w:kern w:val="0"/>
                <w:sz w:val="21"/>
                <w:szCs w:val="21"/>
                <w:lang w:eastAsia="zh-Hans" w:bidi="ar"/>
              </w:rPr>
              <w:t>，最低轮询频率</w:t>
            </w:r>
            <w:r>
              <w:rPr>
                <w:rFonts w:hint="eastAsia" w:ascii="宋体" w:hAnsi="宋体" w:cs="宋体"/>
                <w:color w:val="000000"/>
                <w:kern w:val="0"/>
                <w:sz w:val="21"/>
                <w:szCs w:val="21"/>
                <w:lang w:eastAsia="zh-Hans" w:bidi="ar"/>
              </w:rPr>
              <w:t>大于</w:t>
            </w:r>
            <w:r>
              <w:rPr>
                <w:rFonts w:ascii="宋体" w:hAnsi="宋体" w:cs="宋体"/>
                <w:color w:val="000000"/>
                <w:kern w:val="0"/>
                <w:sz w:val="21"/>
                <w:szCs w:val="21"/>
                <w:lang w:eastAsia="zh-Hans" w:bidi="ar"/>
              </w:rPr>
              <w:t>5</w:t>
            </w:r>
            <w:r>
              <w:rPr>
                <w:rFonts w:hint="eastAsia" w:ascii="宋体" w:hAnsi="宋体" w:cs="宋体"/>
                <w:color w:val="000000"/>
                <w:kern w:val="0"/>
                <w:sz w:val="21"/>
                <w:szCs w:val="21"/>
                <w:lang w:eastAsia="zh-Hans" w:bidi="ar"/>
              </w:rPr>
              <w:t>秒的</w:t>
            </w:r>
            <w:r>
              <w:rPr>
                <w:rFonts w:hint="eastAsia" w:ascii="宋体" w:hAnsi="宋体" w:cs="宋体"/>
                <w:color w:val="000000"/>
                <w:kern w:val="0"/>
                <w:sz w:val="21"/>
                <w:szCs w:val="21"/>
                <w:lang w:bidi="ar"/>
              </w:rPr>
              <w:t>，计1分；</w:t>
            </w:r>
          </w:p>
          <w:p>
            <w:pPr>
              <w:widowControl w:val="0"/>
              <w:adjustRightInd w:val="0"/>
              <w:snapToGrid w:val="0"/>
              <w:spacing w:line="360" w:lineRule="auto"/>
              <w:ind w:firstLine="210" w:firstLineChars="100"/>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未提供的不计分。</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3</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eastAsia="zh-Hans" w:bidi="ar"/>
              </w:rPr>
              <w:t>智能故障排查功能设计</w:t>
            </w:r>
          </w:p>
        </w:tc>
        <w:tc>
          <w:tcPr>
            <w:tcW w:w="398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textAlignment w:val="center"/>
              <w:rPr>
                <w:rStyle w:val="190"/>
                <w:rFonts w:hint="default"/>
                <w:sz w:val="21"/>
                <w:szCs w:val="21"/>
                <w:lang w:bidi="ar"/>
              </w:rPr>
            </w:pPr>
            <w:r>
              <w:rPr>
                <w:rStyle w:val="189"/>
                <w:rFonts w:hint="eastAsia"/>
                <w:sz w:val="21"/>
                <w:szCs w:val="21"/>
                <w:lang w:bidi="ar"/>
              </w:rPr>
              <w:t>对</w:t>
            </w:r>
            <w:r>
              <w:rPr>
                <w:rStyle w:val="189"/>
                <w:rFonts w:hint="eastAsia"/>
                <w:sz w:val="21"/>
                <w:szCs w:val="21"/>
                <w:lang w:eastAsia="zh-CN" w:bidi="ar"/>
              </w:rPr>
              <w:t>供应商</w:t>
            </w:r>
            <w:r>
              <w:rPr>
                <w:rStyle w:val="189"/>
                <w:rFonts w:hint="eastAsia"/>
                <w:sz w:val="21"/>
                <w:szCs w:val="21"/>
                <w:lang w:bidi="ar"/>
              </w:rPr>
              <w:t>的</w:t>
            </w:r>
            <w:r>
              <w:rPr>
                <w:rFonts w:hint="eastAsia" w:ascii="宋体" w:hAnsi="宋体" w:cs="宋体"/>
                <w:color w:val="000000"/>
                <w:kern w:val="0"/>
                <w:sz w:val="21"/>
                <w:szCs w:val="21"/>
                <w:lang w:eastAsia="zh-Hans" w:bidi="ar"/>
              </w:rPr>
              <w:t>智能故障排查功能设计</w:t>
            </w:r>
            <w:r>
              <w:rPr>
                <w:rFonts w:hint="eastAsia" w:ascii="宋体" w:hAnsi="宋体" w:cs="宋体"/>
                <w:color w:val="000000"/>
                <w:kern w:val="0"/>
                <w:sz w:val="21"/>
                <w:szCs w:val="21"/>
                <w:lang w:bidi="ar"/>
              </w:rPr>
              <w:t>进行综合打分</w:t>
            </w:r>
            <w:r>
              <w:rPr>
                <w:rStyle w:val="190"/>
                <w:rFonts w:hint="default"/>
                <w:sz w:val="21"/>
                <w:szCs w:val="21"/>
                <w:lang w:bidi="ar"/>
              </w:rPr>
              <w:t>：</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对</w:t>
            </w:r>
            <w:r>
              <w:rPr>
                <w:rFonts w:hint="eastAsia" w:ascii="宋体" w:hAnsi="宋体" w:cs="宋体"/>
                <w:color w:val="000000"/>
                <w:kern w:val="0"/>
                <w:sz w:val="21"/>
                <w:szCs w:val="21"/>
                <w:lang w:eastAsia="zh-Hans" w:bidi="ar"/>
              </w:rPr>
              <w:t>智能故障排查功能设计较完善</w:t>
            </w:r>
            <w:r>
              <w:rPr>
                <w:rFonts w:hint="eastAsia" w:ascii="宋体" w:hAnsi="宋体" w:cs="宋体"/>
                <w:color w:val="000000"/>
                <w:kern w:val="0"/>
                <w:sz w:val="21"/>
                <w:szCs w:val="21"/>
                <w:lang w:bidi="ar"/>
              </w:rPr>
              <w:t>、</w:t>
            </w:r>
            <w:r>
              <w:rPr>
                <w:rFonts w:hint="eastAsia" w:ascii="宋体" w:hAnsi="宋体" w:cs="宋体"/>
                <w:color w:val="000000"/>
                <w:kern w:val="0"/>
                <w:sz w:val="21"/>
                <w:szCs w:val="21"/>
                <w:lang w:eastAsia="zh-Hans" w:bidi="ar"/>
              </w:rPr>
              <w:t>批量设置</w:t>
            </w:r>
            <w:r>
              <w:rPr>
                <w:rFonts w:hint="eastAsia" w:ascii="宋体" w:hAnsi="宋体" w:cs="宋体"/>
                <w:color w:val="000000"/>
                <w:kern w:val="0"/>
                <w:sz w:val="21"/>
                <w:szCs w:val="21"/>
                <w:lang w:bidi="ar"/>
              </w:rPr>
              <w:t>、</w:t>
            </w:r>
            <w:r>
              <w:rPr>
                <w:rFonts w:hint="eastAsia" w:ascii="宋体" w:hAnsi="宋体" w:cs="宋体"/>
                <w:color w:val="000000"/>
                <w:kern w:val="0"/>
                <w:sz w:val="21"/>
                <w:szCs w:val="21"/>
                <w:lang w:eastAsia="zh-Hans" w:bidi="ar"/>
              </w:rPr>
              <w:t>拓扑功能</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资产全生命周期管理以及自监控功能完善</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bidi="ar"/>
              </w:rPr>
              <w:t>可操作性高</w:t>
            </w:r>
            <w:r>
              <w:rPr>
                <w:rFonts w:hint="eastAsia" w:ascii="宋体" w:hAnsi="宋体" w:cs="宋体"/>
                <w:color w:val="000000"/>
                <w:kern w:val="0"/>
                <w:sz w:val="21"/>
                <w:szCs w:val="21"/>
                <w:lang w:eastAsia="zh-Hans" w:bidi="ar"/>
              </w:rPr>
              <w:t>的</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bidi="ar"/>
              </w:rPr>
              <w:t>计3分；</w:t>
            </w:r>
          </w:p>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对</w:t>
            </w:r>
            <w:r>
              <w:rPr>
                <w:rFonts w:hint="eastAsia" w:ascii="宋体" w:hAnsi="宋体" w:cs="宋体"/>
                <w:color w:val="000000"/>
                <w:kern w:val="0"/>
                <w:sz w:val="21"/>
                <w:szCs w:val="21"/>
                <w:lang w:eastAsia="zh-Hans" w:bidi="ar"/>
              </w:rPr>
              <w:t>智能故障排查功能设计基本满足</w:t>
            </w:r>
            <w:r>
              <w:rPr>
                <w:rFonts w:hint="eastAsia" w:ascii="宋体" w:hAnsi="宋体" w:cs="宋体"/>
                <w:color w:val="000000"/>
                <w:kern w:val="0"/>
                <w:sz w:val="21"/>
                <w:szCs w:val="21"/>
                <w:lang w:bidi="ar"/>
              </w:rPr>
              <w:t>、</w:t>
            </w:r>
            <w:r>
              <w:rPr>
                <w:rFonts w:hint="eastAsia" w:ascii="宋体" w:hAnsi="宋体" w:cs="宋体"/>
                <w:color w:val="000000"/>
                <w:kern w:val="0"/>
                <w:sz w:val="21"/>
                <w:szCs w:val="21"/>
                <w:lang w:eastAsia="zh-Hans" w:bidi="ar"/>
              </w:rPr>
              <w:t>批量设置</w:t>
            </w:r>
            <w:r>
              <w:rPr>
                <w:rFonts w:hint="eastAsia" w:ascii="宋体" w:hAnsi="宋体" w:cs="宋体"/>
                <w:color w:val="000000"/>
                <w:kern w:val="0"/>
                <w:sz w:val="21"/>
                <w:szCs w:val="21"/>
                <w:lang w:bidi="ar"/>
              </w:rPr>
              <w:t>、</w:t>
            </w:r>
            <w:r>
              <w:rPr>
                <w:rFonts w:hint="eastAsia" w:ascii="宋体" w:hAnsi="宋体" w:cs="宋体"/>
                <w:color w:val="000000"/>
                <w:kern w:val="0"/>
                <w:sz w:val="21"/>
                <w:szCs w:val="21"/>
                <w:lang w:eastAsia="zh-Hans" w:bidi="ar"/>
              </w:rPr>
              <w:t>拓扑功能</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资产全生命周期管理以及自监控功能基本满足</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bidi="ar"/>
              </w:rPr>
              <w:t>可操作性</w:t>
            </w:r>
            <w:r>
              <w:rPr>
                <w:rFonts w:hint="eastAsia" w:ascii="宋体" w:hAnsi="宋体" w:cs="宋体"/>
                <w:color w:val="000000"/>
                <w:kern w:val="0"/>
                <w:sz w:val="21"/>
                <w:szCs w:val="21"/>
                <w:lang w:eastAsia="zh-Hans" w:bidi="ar"/>
              </w:rPr>
              <w:t>适中的</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计</w:t>
            </w:r>
            <w:r>
              <w:rPr>
                <w:rFonts w:hint="eastAsia" w:ascii="宋体" w:hAnsi="宋体" w:cs="宋体"/>
                <w:color w:val="000000"/>
                <w:kern w:val="0"/>
                <w:sz w:val="21"/>
                <w:szCs w:val="21"/>
                <w:lang w:bidi="ar"/>
              </w:rPr>
              <w:t>2</w:t>
            </w:r>
            <w:r>
              <w:rPr>
                <w:rFonts w:hint="eastAsia" w:ascii="宋体" w:hAnsi="宋体" w:cs="宋体"/>
                <w:color w:val="000000"/>
                <w:kern w:val="0"/>
                <w:sz w:val="21"/>
                <w:szCs w:val="21"/>
                <w:lang w:eastAsia="zh-Hans" w:bidi="ar"/>
              </w:rPr>
              <w:t>分</w:t>
            </w:r>
            <w:r>
              <w:rPr>
                <w:rFonts w:hint="eastAsia" w:ascii="宋体" w:hAnsi="宋体" w:cs="宋体"/>
                <w:color w:val="000000"/>
                <w:kern w:val="0"/>
                <w:sz w:val="21"/>
                <w:szCs w:val="21"/>
                <w:lang w:bidi="ar"/>
              </w:rPr>
              <w:t>；</w:t>
            </w:r>
          </w:p>
          <w:p>
            <w:pPr>
              <w:pStyle w:val="2"/>
              <w:spacing w:line="360" w:lineRule="auto"/>
              <w:rPr>
                <w:sz w:val="21"/>
                <w:szCs w:val="21"/>
              </w:rPr>
            </w:pPr>
            <w:r>
              <w:rPr>
                <w:rFonts w:hint="eastAsia" w:hAnsi="宋体" w:cs="宋体"/>
                <w:color w:val="000000"/>
                <w:kern w:val="0"/>
                <w:sz w:val="21"/>
                <w:szCs w:val="21"/>
                <w:lang w:bidi="ar"/>
              </w:rPr>
              <w:t>对</w:t>
            </w:r>
            <w:r>
              <w:rPr>
                <w:rFonts w:hint="eastAsia" w:hAnsi="宋体" w:cs="宋体"/>
                <w:color w:val="000000"/>
                <w:kern w:val="0"/>
                <w:sz w:val="21"/>
                <w:szCs w:val="21"/>
                <w:lang w:eastAsia="zh-Hans" w:bidi="ar"/>
              </w:rPr>
              <w:t>智能故障排查功能设计欠合理</w:t>
            </w:r>
            <w:r>
              <w:rPr>
                <w:rFonts w:hint="eastAsia" w:hAnsi="宋体" w:cs="宋体"/>
                <w:color w:val="000000"/>
                <w:kern w:val="0"/>
                <w:sz w:val="21"/>
                <w:szCs w:val="21"/>
                <w:lang w:bidi="ar"/>
              </w:rPr>
              <w:t>、</w:t>
            </w:r>
            <w:r>
              <w:rPr>
                <w:rFonts w:hint="eastAsia" w:hAnsi="宋体" w:cs="宋体"/>
                <w:color w:val="000000"/>
                <w:kern w:val="0"/>
                <w:sz w:val="21"/>
                <w:szCs w:val="21"/>
                <w:lang w:eastAsia="zh-Hans" w:bidi="ar"/>
              </w:rPr>
              <w:t>批量设置</w:t>
            </w:r>
            <w:r>
              <w:rPr>
                <w:rFonts w:hint="eastAsia" w:hAnsi="宋体" w:cs="宋体"/>
                <w:color w:val="000000"/>
                <w:kern w:val="0"/>
                <w:sz w:val="21"/>
                <w:szCs w:val="21"/>
                <w:lang w:bidi="ar"/>
              </w:rPr>
              <w:t>、</w:t>
            </w:r>
            <w:r>
              <w:rPr>
                <w:rFonts w:hint="eastAsia" w:hAnsi="宋体" w:cs="宋体"/>
                <w:color w:val="000000"/>
                <w:kern w:val="0"/>
                <w:sz w:val="21"/>
                <w:szCs w:val="21"/>
                <w:lang w:eastAsia="zh-Hans" w:bidi="ar"/>
              </w:rPr>
              <w:t>拓扑功能</w:t>
            </w:r>
            <w:r>
              <w:rPr>
                <w:rFonts w:hAnsi="宋体" w:cs="宋体"/>
                <w:color w:val="000000"/>
                <w:kern w:val="0"/>
                <w:sz w:val="21"/>
                <w:szCs w:val="21"/>
                <w:lang w:eastAsia="zh-Hans" w:bidi="ar"/>
              </w:rPr>
              <w:t>、</w:t>
            </w:r>
            <w:r>
              <w:rPr>
                <w:rFonts w:hint="eastAsia" w:hAnsi="宋体" w:cs="宋体"/>
                <w:color w:val="000000"/>
                <w:kern w:val="0"/>
                <w:sz w:val="21"/>
                <w:szCs w:val="21"/>
                <w:lang w:eastAsia="zh-Hans" w:bidi="ar"/>
              </w:rPr>
              <w:t>资产全生命周期管理以及自监控功能欠完善</w:t>
            </w:r>
            <w:r>
              <w:rPr>
                <w:rFonts w:hAnsi="宋体" w:cs="宋体"/>
                <w:color w:val="000000"/>
                <w:kern w:val="0"/>
                <w:sz w:val="21"/>
                <w:szCs w:val="21"/>
                <w:lang w:eastAsia="zh-Hans" w:bidi="ar"/>
              </w:rPr>
              <w:t>、</w:t>
            </w:r>
            <w:r>
              <w:rPr>
                <w:rFonts w:hint="eastAsia" w:hAnsi="宋体" w:cs="宋体"/>
                <w:color w:val="000000"/>
                <w:kern w:val="0"/>
                <w:sz w:val="21"/>
                <w:szCs w:val="21"/>
                <w:lang w:bidi="ar"/>
              </w:rPr>
              <w:t>可操作性</w:t>
            </w:r>
            <w:r>
              <w:rPr>
                <w:rFonts w:hint="eastAsia" w:hAnsi="宋体" w:cs="宋体"/>
                <w:color w:val="000000"/>
                <w:kern w:val="0"/>
                <w:sz w:val="21"/>
                <w:szCs w:val="21"/>
                <w:lang w:eastAsia="zh-Hans" w:bidi="ar"/>
              </w:rPr>
              <w:t>较弱的</w:t>
            </w:r>
            <w:r>
              <w:rPr>
                <w:rFonts w:hAnsi="宋体" w:cs="宋体"/>
                <w:color w:val="000000"/>
                <w:kern w:val="0"/>
                <w:sz w:val="21"/>
                <w:szCs w:val="21"/>
                <w:lang w:eastAsia="zh-Hans" w:bidi="ar"/>
              </w:rPr>
              <w:t>，</w:t>
            </w:r>
            <w:r>
              <w:rPr>
                <w:rFonts w:hint="eastAsia" w:hAnsi="宋体" w:cs="宋体"/>
                <w:color w:val="000000"/>
                <w:kern w:val="0"/>
                <w:sz w:val="21"/>
                <w:szCs w:val="21"/>
                <w:lang w:eastAsia="zh-Hans" w:bidi="ar"/>
              </w:rPr>
              <w:t>计</w:t>
            </w:r>
            <w:r>
              <w:rPr>
                <w:rFonts w:hAnsi="宋体" w:cs="宋体"/>
                <w:color w:val="000000"/>
                <w:kern w:val="0"/>
                <w:sz w:val="21"/>
                <w:szCs w:val="21"/>
                <w:lang w:eastAsia="zh-Hans" w:bidi="ar"/>
              </w:rPr>
              <w:t>1</w:t>
            </w:r>
            <w:r>
              <w:rPr>
                <w:rFonts w:hint="eastAsia" w:hAnsi="宋体" w:cs="宋体"/>
                <w:color w:val="000000"/>
                <w:kern w:val="0"/>
                <w:sz w:val="21"/>
                <w:szCs w:val="21"/>
                <w:lang w:eastAsia="zh-Hans" w:bidi="ar"/>
              </w:rPr>
              <w:t>分</w:t>
            </w:r>
          </w:p>
          <w:p>
            <w:pPr>
              <w:widowControl w:val="0"/>
              <w:adjustRightInd w:val="0"/>
              <w:snapToGrid w:val="0"/>
              <w:spacing w:line="360" w:lineRule="auto"/>
              <w:ind w:firstLine="210" w:firstLineChars="100"/>
              <w:rPr>
                <w:rFonts w:asciiTheme="minorEastAsia" w:hAnsiTheme="minorEastAsia" w:eastAsiaTheme="minorEastAsia" w:cstheme="minorEastAsia"/>
                <w:sz w:val="21"/>
                <w:szCs w:val="21"/>
              </w:rPr>
            </w:pPr>
            <w:r>
              <w:rPr>
                <w:rStyle w:val="190"/>
                <w:rFonts w:hint="default"/>
                <w:sz w:val="21"/>
                <w:szCs w:val="21"/>
                <w:lang w:bidi="ar"/>
              </w:rPr>
              <w:t xml:space="preserve">    </w:t>
            </w:r>
            <w:r>
              <w:rPr>
                <w:rFonts w:hint="eastAsia" w:ascii="宋体" w:hAnsi="宋体" w:cs="宋体"/>
                <w:color w:val="000000"/>
                <w:kern w:val="0"/>
                <w:sz w:val="21"/>
                <w:szCs w:val="21"/>
                <w:lang w:bidi="ar"/>
              </w:rPr>
              <w:t>未提供的不计分。</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eastAsia="zh-Hans" w:bidi="ar"/>
              </w:rPr>
              <w:t>智能告警功能设计</w:t>
            </w:r>
          </w:p>
        </w:tc>
        <w:tc>
          <w:tcPr>
            <w:tcW w:w="398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textAlignment w:val="center"/>
              <w:rPr>
                <w:rStyle w:val="189"/>
                <w:sz w:val="21"/>
                <w:szCs w:val="21"/>
                <w:lang w:bidi="ar"/>
              </w:rPr>
            </w:pPr>
            <w:r>
              <w:rPr>
                <w:rStyle w:val="189"/>
                <w:rFonts w:hint="eastAsia"/>
                <w:sz w:val="21"/>
                <w:szCs w:val="21"/>
                <w:lang w:bidi="ar"/>
              </w:rPr>
              <w:t>对</w:t>
            </w:r>
            <w:r>
              <w:rPr>
                <w:rStyle w:val="189"/>
                <w:rFonts w:hint="eastAsia"/>
                <w:sz w:val="21"/>
                <w:szCs w:val="21"/>
                <w:lang w:eastAsia="zh-CN" w:bidi="ar"/>
              </w:rPr>
              <w:t>供应商</w:t>
            </w:r>
            <w:r>
              <w:rPr>
                <w:rStyle w:val="189"/>
                <w:rFonts w:hint="eastAsia"/>
                <w:sz w:val="21"/>
                <w:szCs w:val="21"/>
                <w:lang w:bidi="ar"/>
              </w:rPr>
              <w:t>的</w:t>
            </w:r>
            <w:r>
              <w:rPr>
                <w:rFonts w:hint="eastAsia" w:ascii="宋体" w:hAnsi="宋体" w:cs="宋体"/>
                <w:color w:val="000000"/>
                <w:kern w:val="0"/>
                <w:sz w:val="21"/>
                <w:szCs w:val="21"/>
                <w:lang w:bidi="ar"/>
              </w:rPr>
              <w:t>统一智能告警功能设计进行综合打分</w:t>
            </w:r>
            <w:r>
              <w:rPr>
                <w:rStyle w:val="190"/>
                <w:rFonts w:hint="default"/>
                <w:sz w:val="21"/>
                <w:szCs w:val="21"/>
                <w:lang w:bidi="ar"/>
              </w:rPr>
              <w:t>：</w:t>
            </w:r>
          </w:p>
          <w:p>
            <w:pPr>
              <w:spacing w:line="360" w:lineRule="auto"/>
              <w:ind w:firstLine="48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统一智能告警设计合理，支持告警源丰富，指标告警、分派策略、告警抑制、关联分析等功能完善的，计3分；</w:t>
            </w:r>
          </w:p>
          <w:p>
            <w:pPr>
              <w:spacing w:line="360" w:lineRule="auto"/>
              <w:ind w:firstLine="48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统一智能告警设计基本合理，支持告警源基本满足、指标告警、分派策略、告警抑制、关联分析等功能基本满足的，计2分；</w:t>
            </w:r>
          </w:p>
          <w:p>
            <w:pPr>
              <w:spacing w:line="360" w:lineRule="auto"/>
              <w:ind w:firstLine="48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统一智能告警设计欠合理，支持告警源较少、指标告警、分派策略、告警抑制、关联分析等功能欠完善的，计1分；</w:t>
            </w:r>
          </w:p>
          <w:p>
            <w:pPr>
              <w:widowControl w:val="0"/>
              <w:adjustRightInd w:val="0"/>
              <w:snapToGrid w:val="0"/>
              <w:spacing w:line="360" w:lineRule="auto"/>
              <w:ind w:firstLine="210" w:firstLineChars="100"/>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未提供的不计分。</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3</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eastAsia="zh-Hans" w:bidi="ar"/>
              </w:rPr>
              <w:t>业务可观测</w:t>
            </w:r>
            <w:r>
              <w:rPr>
                <w:rFonts w:hint="eastAsia" w:ascii="宋体" w:hAnsi="宋体" w:cs="宋体"/>
                <w:color w:val="000000"/>
                <w:kern w:val="0"/>
                <w:sz w:val="21"/>
                <w:szCs w:val="21"/>
                <w:lang w:bidi="ar"/>
              </w:rPr>
              <w:t>功能设</w:t>
            </w:r>
            <w:r>
              <w:rPr>
                <w:rStyle w:val="189"/>
                <w:rFonts w:hint="eastAsia"/>
                <w:sz w:val="21"/>
                <w:szCs w:val="21"/>
                <w:lang w:bidi="ar"/>
              </w:rPr>
              <w:t>计</w:t>
            </w:r>
          </w:p>
        </w:tc>
        <w:tc>
          <w:tcPr>
            <w:tcW w:w="398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对</w:t>
            </w:r>
            <w:r>
              <w:rPr>
                <w:rFonts w:hint="eastAsia" w:ascii="宋体" w:hAnsi="宋体" w:cs="宋体"/>
                <w:color w:val="000000"/>
                <w:kern w:val="0"/>
                <w:sz w:val="21"/>
                <w:szCs w:val="21"/>
                <w:lang w:eastAsia="zh-CN" w:bidi="ar"/>
              </w:rPr>
              <w:t>供应商</w:t>
            </w:r>
            <w:r>
              <w:rPr>
                <w:rFonts w:hint="eastAsia" w:ascii="宋体" w:hAnsi="宋体" w:cs="宋体"/>
                <w:color w:val="000000"/>
                <w:kern w:val="0"/>
                <w:sz w:val="21"/>
                <w:szCs w:val="21"/>
                <w:lang w:bidi="ar"/>
              </w:rPr>
              <w:t>的</w:t>
            </w:r>
            <w:r>
              <w:rPr>
                <w:rFonts w:hint="eastAsia" w:ascii="宋体" w:hAnsi="宋体" w:cs="宋体"/>
                <w:color w:val="000000"/>
                <w:kern w:val="0"/>
                <w:sz w:val="21"/>
                <w:szCs w:val="21"/>
                <w:lang w:eastAsia="zh-Hans" w:bidi="ar"/>
              </w:rPr>
              <w:t>业务可观测</w:t>
            </w:r>
            <w:r>
              <w:rPr>
                <w:rFonts w:hint="eastAsia" w:ascii="宋体" w:hAnsi="宋体" w:cs="宋体"/>
                <w:color w:val="000000"/>
                <w:kern w:val="0"/>
                <w:sz w:val="21"/>
                <w:szCs w:val="21"/>
                <w:lang w:bidi="ar"/>
              </w:rPr>
              <w:t>功能设计进行综合打分</w:t>
            </w:r>
            <w:r>
              <w:rPr>
                <w:rFonts w:ascii="宋体" w:hAnsi="宋体" w:cs="宋体"/>
                <w:color w:val="000000"/>
                <w:kern w:val="0"/>
                <w:sz w:val="21"/>
                <w:szCs w:val="21"/>
                <w:lang w:bidi="ar"/>
              </w:rPr>
              <w:t>：</w:t>
            </w:r>
          </w:p>
          <w:p>
            <w:pPr>
              <w:spacing w:line="360" w:lineRule="auto"/>
              <w:ind w:firstLine="480"/>
              <w:textAlignment w:val="center"/>
              <w:rPr>
                <w:rFonts w:ascii="宋体" w:hAnsi="宋体" w:cs="宋体"/>
                <w:color w:val="000000"/>
                <w:kern w:val="0"/>
                <w:sz w:val="21"/>
                <w:szCs w:val="21"/>
                <w:lang w:eastAsia="zh-Hans" w:bidi="ar"/>
              </w:rPr>
            </w:pPr>
            <w:r>
              <w:rPr>
                <w:rFonts w:hint="eastAsia" w:ascii="宋体" w:hAnsi="宋体" w:cs="宋体"/>
                <w:color w:val="000000"/>
                <w:kern w:val="0"/>
                <w:sz w:val="21"/>
                <w:szCs w:val="21"/>
                <w:lang w:eastAsia="zh-Hans" w:bidi="ar"/>
              </w:rPr>
              <w:t>业务可观测</w:t>
            </w:r>
            <w:r>
              <w:rPr>
                <w:rFonts w:hint="eastAsia" w:ascii="宋体" w:hAnsi="宋体" w:cs="宋体"/>
                <w:color w:val="000000"/>
                <w:kern w:val="0"/>
                <w:sz w:val="21"/>
                <w:szCs w:val="21"/>
                <w:lang w:bidi="ar"/>
              </w:rPr>
              <w:t>功能设计</w:t>
            </w:r>
            <w:r>
              <w:rPr>
                <w:rFonts w:hint="eastAsia" w:ascii="宋体" w:hAnsi="宋体" w:cs="宋体"/>
                <w:color w:val="000000"/>
                <w:kern w:val="0"/>
                <w:sz w:val="21"/>
                <w:szCs w:val="21"/>
                <w:lang w:eastAsia="zh-Hans" w:bidi="ar"/>
              </w:rPr>
              <w:t>合理</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支持看板管理</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图表管理、数据集和数据源管理</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支持对看板图表的订阅及导出功能完善的</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计</w:t>
            </w:r>
            <w:r>
              <w:rPr>
                <w:rFonts w:hint="eastAsia" w:ascii="宋体" w:hAnsi="宋体" w:cs="宋体"/>
                <w:color w:val="000000"/>
                <w:kern w:val="0"/>
                <w:sz w:val="21"/>
                <w:szCs w:val="21"/>
                <w:lang w:bidi="ar"/>
              </w:rPr>
              <w:t>3</w:t>
            </w:r>
            <w:r>
              <w:rPr>
                <w:rFonts w:hint="eastAsia" w:ascii="宋体" w:hAnsi="宋体" w:cs="宋体"/>
                <w:color w:val="000000"/>
                <w:kern w:val="0"/>
                <w:sz w:val="21"/>
                <w:szCs w:val="21"/>
                <w:lang w:eastAsia="zh-Hans" w:bidi="ar"/>
              </w:rPr>
              <w:t>分</w:t>
            </w:r>
            <w:r>
              <w:rPr>
                <w:rFonts w:ascii="宋体" w:hAnsi="宋体" w:cs="宋体"/>
                <w:color w:val="000000"/>
                <w:kern w:val="0"/>
                <w:sz w:val="21"/>
                <w:szCs w:val="21"/>
                <w:lang w:eastAsia="zh-Hans" w:bidi="ar"/>
              </w:rPr>
              <w:t>；</w:t>
            </w:r>
          </w:p>
          <w:p>
            <w:pPr>
              <w:spacing w:line="360" w:lineRule="auto"/>
              <w:ind w:firstLine="480"/>
              <w:textAlignment w:val="center"/>
              <w:rPr>
                <w:rFonts w:ascii="宋体" w:hAnsi="宋体" w:cs="宋体"/>
                <w:color w:val="000000"/>
                <w:kern w:val="0"/>
                <w:sz w:val="21"/>
                <w:szCs w:val="21"/>
                <w:lang w:eastAsia="zh-Hans" w:bidi="ar"/>
              </w:rPr>
            </w:pPr>
            <w:r>
              <w:rPr>
                <w:rFonts w:hint="eastAsia" w:ascii="宋体" w:hAnsi="宋体" w:cs="宋体"/>
                <w:color w:val="000000"/>
                <w:kern w:val="0"/>
                <w:sz w:val="21"/>
                <w:szCs w:val="21"/>
                <w:lang w:eastAsia="zh-Hans" w:bidi="ar"/>
              </w:rPr>
              <w:t>业务可观测</w:t>
            </w:r>
            <w:r>
              <w:rPr>
                <w:rFonts w:hint="eastAsia" w:ascii="宋体" w:hAnsi="宋体" w:cs="宋体"/>
                <w:color w:val="000000"/>
                <w:kern w:val="0"/>
                <w:sz w:val="21"/>
                <w:szCs w:val="21"/>
                <w:lang w:bidi="ar"/>
              </w:rPr>
              <w:t>功能设计</w:t>
            </w:r>
            <w:r>
              <w:rPr>
                <w:rFonts w:hint="eastAsia" w:ascii="宋体" w:hAnsi="宋体" w:cs="宋体"/>
                <w:color w:val="000000"/>
                <w:kern w:val="0"/>
                <w:sz w:val="21"/>
                <w:szCs w:val="21"/>
                <w:lang w:eastAsia="zh-Hans" w:bidi="ar"/>
              </w:rPr>
              <w:t>基本合理</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支持看板管理</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图表管理、数据集和数据源管理</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支持对看板图表的订阅及导出功能基本完善的</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计</w:t>
            </w:r>
            <w:r>
              <w:rPr>
                <w:rFonts w:hint="eastAsia" w:ascii="宋体" w:hAnsi="宋体" w:cs="宋体"/>
                <w:color w:val="000000"/>
                <w:kern w:val="0"/>
                <w:sz w:val="21"/>
                <w:szCs w:val="21"/>
                <w:lang w:bidi="ar"/>
              </w:rPr>
              <w:t>2</w:t>
            </w:r>
            <w:r>
              <w:rPr>
                <w:rFonts w:hint="eastAsia" w:ascii="宋体" w:hAnsi="宋体" w:cs="宋体"/>
                <w:color w:val="000000"/>
                <w:kern w:val="0"/>
                <w:sz w:val="21"/>
                <w:szCs w:val="21"/>
                <w:lang w:eastAsia="zh-Hans" w:bidi="ar"/>
              </w:rPr>
              <w:t>分</w:t>
            </w:r>
            <w:r>
              <w:rPr>
                <w:rFonts w:ascii="宋体" w:hAnsi="宋体" w:cs="宋体"/>
                <w:color w:val="000000"/>
                <w:kern w:val="0"/>
                <w:sz w:val="21"/>
                <w:szCs w:val="21"/>
                <w:lang w:eastAsia="zh-Hans" w:bidi="ar"/>
              </w:rPr>
              <w:t>；</w:t>
            </w:r>
          </w:p>
          <w:p>
            <w:pPr>
              <w:spacing w:line="360" w:lineRule="auto"/>
              <w:ind w:firstLine="480"/>
              <w:textAlignment w:val="center"/>
              <w:rPr>
                <w:rFonts w:ascii="宋体" w:hAnsi="宋体" w:cs="宋体"/>
                <w:color w:val="000000"/>
                <w:kern w:val="0"/>
                <w:sz w:val="21"/>
                <w:szCs w:val="21"/>
                <w:lang w:eastAsia="zh-Hans" w:bidi="ar"/>
              </w:rPr>
            </w:pPr>
            <w:r>
              <w:rPr>
                <w:rFonts w:hint="eastAsia" w:ascii="宋体" w:hAnsi="宋体" w:cs="宋体"/>
                <w:color w:val="000000"/>
                <w:kern w:val="0"/>
                <w:sz w:val="21"/>
                <w:szCs w:val="21"/>
                <w:lang w:eastAsia="zh-Hans" w:bidi="ar"/>
              </w:rPr>
              <w:t>业务可观测</w:t>
            </w:r>
            <w:r>
              <w:rPr>
                <w:rFonts w:hint="eastAsia" w:ascii="宋体" w:hAnsi="宋体" w:cs="宋体"/>
                <w:color w:val="000000"/>
                <w:kern w:val="0"/>
                <w:sz w:val="21"/>
                <w:szCs w:val="21"/>
                <w:lang w:bidi="ar"/>
              </w:rPr>
              <w:t>功能设计</w:t>
            </w:r>
            <w:r>
              <w:rPr>
                <w:rFonts w:hint="eastAsia" w:ascii="宋体" w:hAnsi="宋体" w:cs="宋体"/>
                <w:color w:val="000000"/>
                <w:kern w:val="0"/>
                <w:sz w:val="21"/>
                <w:szCs w:val="21"/>
                <w:lang w:eastAsia="zh-Hans" w:bidi="ar"/>
              </w:rPr>
              <w:t>欠合理</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支持看板管理</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图表管理、数据集和数据源管理</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支持对看板图表的订阅及导出功能欠完善的</w:t>
            </w:r>
            <w:r>
              <w:rPr>
                <w:rFonts w:ascii="宋体" w:hAnsi="宋体" w:cs="宋体"/>
                <w:color w:val="000000"/>
                <w:kern w:val="0"/>
                <w:sz w:val="21"/>
                <w:szCs w:val="21"/>
                <w:lang w:eastAsia="zh-Hans" w:bidi="ar"/>
              </w:rPr>
              <w:t>，</w:t>
            </w:r>
            <w:r>
              <w:rPr>
                <w:rFonts w:hint="eastAsia" w:ascii="宋体" w:hAnsi="宋体" w:cs="宋体"/>
                <w:color w:val="000000"/>
                <w:kern w:val="0"/>
                <w:sz w:val="21"/>
                <w:szCs w:val="21"/>
                <w:lang w:eastAsia="zh-Hans" w:bidi="ar"/>
              </w:rPr>
              <w:t>计</w:t>
            </w:r>
            <w:r>
              <w:rPr>
                <w:rFonts w:ascii="宋体" w:hAnsi="宋体" w:cs="宋体"/>
                <w:color w:val="000000"/>
                <w:kern w:val="0"/>
                <w:sz w:val="21"/>
                <w:szCs w:val="21"/>
                <w:lang w:eastAsia="zh-Hans" w:bidi="ar"/>
              </w:rPr>
              <w:t>1</w:t>
            </w:r>
            <w:r>
              <w:rPr>
                <w:rFonts w:hint="eastAsia" w:ascii="宋体" w:hAnsi="宋体" w:cs="宋体"/>
                <w:color w:val="000000"/>
                <w:kern w:val="0"/>
                <w:sz w:val="21"/>
                <w:szCs w:val="21"/>
                <w:lang w:eastAsia="zh-Hans" w:bidi="ar"/>
              </w:rPr>
              <w:t>分</w:t>
            </w:r>
            <w:r>
              <w:rPr>
                <w:rFonts w:ascii="宋体" w:hAnsi="宋体" w:cs="宋体"/>
                <w:color w:val="000000"/>
                <w:kern w:val="0"/>
                <w:sz w:val="21"/>
                <w:szCs w:val="21"/>
                <w:lang w:eastAsia="zh-Hans" w:bidi="ar"/>
              </w:rPr>
              <w:t>；</w:t>
            </w:r>
          </w:p>
          <w:p>
            <w:pPr>
              <w:widowControl w:val="0"/>
              <w:adjustRightInd w:val="0"/>
              <w:snapToGrid w:val="0"/>
              <w:spacing w:line="360" w:lineRule="auto"/>
              <w:ind w:firstLine="210" w:firstLineChars="100"/>
              <w:rPr>
                <w:rFonts w:asciiTheme="minorEastAsia" w:hAnsiTheme="minorEastAsia" w:eastAsiaTheme="minorEastAsia" w:cstheme="minorEastAsia"/>
                <w:sz w:val="21"/>
                <w:szCs w:val="21"/>
              </w:rPr>
            </w:pPr>
            <w:r>
              <w:rPr>
                <w:rFonts w:hint="eastAsia" w:ascii="宋体" w:hAnsi="宋体" w:cs="宋体"/>
                <w:color w:val="000000"/>
                <w:kern w:val="0"/>
                <w:sz w:val="21"/>
                <w:szCs w:val="21"/>
                <w:lang w:eastAsia="zh-Hans" w:bidi="ar"/>
              </w:rPr>
              <w:t>未提供的不计分</w:t>
            </w:r>
            <w:r>
              <w:rPr>
                <w:rFonts w:hint="eastAsia" w:ascii="宋体" w:hAnsi="宋体" w:cs="宋体"/>
                <w:color w:val="000000"/>
                <w:kern w:val="0"/>
                <w:sz w:val="21"/>
                <w:szCs w:val="21"/>
                <w:lang w:bidi="ar"/>
              </w:rPr>
              <w:t>。</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3</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6338"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合计</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asciiTheme="minorEastAsia" w:hAnsiTheme="minorEastAsia" w:eastAsiaTheme="minorEastAsia" w:cstheme="minorEastAsia"/>
                <w:b/>
                <w:sz w:val="21"/>
                <w:szCs w:val="21"/>
              </w:rPr>
              <w:t>4</w:t>
            </w:r>
            <w:r>
              <w:rPr>
                <w:rFonts w:hint="eastAsia" w:asciiTheme="minorEastAsia" w:hAnsiTheme="minorEastAsia" w:eastAsiaTheme="minorEastAsia" w:cstheme="minorEastAsia"/>
                <w:b/>
                <w:sz w:val="21"/>
                <w:szCs w:val="21"/>
              </w:rPr>
              <w:t>0分</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b/>
                <w:sz w:val="21"/>
                <w:szCs w:val="21"/>
              </w:rPr>
            </w:pPr>
          </w:p>
        </w:tc>
      </w:tr>
    </w:tbl>
    <w:p>
      <w:pPr>
        <w:pStyle w:val="50"/>
        <w:spacing w:line="360" w:lineRule="auto"/>
        <w:rPr>
          <w:rFonts w:ascii="宋体" w:hAnsi="宋体"/>
          <w:u w:val="single"/>
        </w:rPr>
      </w:pPr>
    </w:p>
    <w:p>
      <w:pPr>
        <w:widowControl w:val="0"/>
        <w:adjustRightInd w:val="0"/>
        <w:snapToGrid w:val="0"/>
        <w:spacing w:line="360" w:lineRule="auto"/>
        <w:ind w:firstLine="315" w:firstLineChars="150"/>
        <w:rPr>
          <w:rFonts w:ascii="宋体" w:hAnsi="宋体"/>
          <w:kern w:val="0"/>
          <w:szCs w:val="21"/>
        </w:rPr>
      </w:pPr>
      <w:r>
        <w:rPr>
          <w:rFonts w:hint="eastAsia" w:ascii="宋体" w:hAnsi="宋体"/>
          <w:kern w:val="0"/>
          <w:szCs w:val="21"/>
        </w:rPr>
        <w:t>注：1、本表小计总分为</w:t>
      </w:r>
      <w:r>
        <w:rPr>
          <w:rFonts w:ascii="宋体" w:hAnsi="宋体"/>
          <w:szCs w:val="21"/>
          <w:u w:val="single"/>
        </w:rPr>
        <w:t>4</w:t>
      </w:r>
      <w:r>
        <w:rPr>
          <w:rFonts w:hint="eastAsia" w:ascii="宋体" w:hAnsi="宋体"/>
          <w:szCs w:val="21"/>
          <w:u w:val="single"/>
        </w:rPr>
        <w:t>0</w:t>
      </w:r>
      <w:r>
        <w:rPr>
          <w:rFonts w:hint="eastAsia" w:ascii="宋体" w:hAnsi="宋体"/>
          <w:kern w:val="0"/>
          <w:szCs w:val="21"/>
        </w:rPr>
        <w:t>分。</w:t>
      </w:r>
    </w:p>
    <w:p>
      <w:pPr>
        <w:widowControl w:val="0"/>
        <w:adjustRightInd w:val="0"/>
        <w:snapToGrid w:val="0"/>
        <w:spacing w:line="360" w:lineRule="auto"/>
        <w:ind w:firstLine="735" w:firstLineChars="350"/>
        <w:rPr>
          <w:rFonts w:ascii="宋体" w:hAnsi="宋体"/>
          <w:kern w:val="0"/>
          <w:szCs w:val="21"/>
        </w:rPr>
      </w:pPr>
      <w:r>
        <w:rPr>
          <w:rFonts w:hint="eastAsia" w:ascii="宋体" w:hAnsi="宋体"/>
          <w:kern w:val="0"/>
          <w:szCs w:val="21"/>
        </w:rPr>
        <w:t>2、技术文件中缺失某项评分因素的，该项评分因素计0分。</w:t>
      </w:r>
    </w:p>
    <w:p>
      <w:pPr>
        <w:widowControl w:val="0"/>
        <w:adjustRightInd w:val="0"/>
        <w:snapToGrid w:val="0"/>
        <w:spacing w:line="360" w:lineRule="auto"/>
        <w:ind w:firstLine="735" w:firstLineChars="350"/>
        <w:rPr>
          <w:rFonts w:ascii="宋体" w:hAnsi="宋体"/>
          <w:b/>
          <w:kern w:val="0"/>
          <w:szCs w:val="21"/>
        </w:rPr>
      </w:pPr>
      <w:r>
        <w:rPr>
          <w:rFonts w:hint="eastAsia" w:ascii="宋体" w:hAnsi="宋体"/>
          <w:kern w:val="0"/>
          <w:szCs w:val="21"/>
        </w:rPr>
        <w:t>3、该项评分内容计分，由</w:t>
      </w:r>
      <w:r>
        <w:rPr>
          <w:rFonts w:hint="eastAsia" w:ascii="宋体" w:hAnsi="宋体"/>
          <w:szCs w:val="21"/>
        </w:rPr>
        <w:t>评审小组</w:t>
      </w:r>
      <w:r>
        <w:rPr>
          <w:rFonts w:hint="eastAsia" w:ascii="宋体" w:hAnsi="宋体"/>
          <w:kern w:val="0"/>
          <w:szCs w:val="21"/>
        </w:rPr>
        <w:t>集体评议，评委根据集体评议意见，自主评分。</w:t>
      </w:r>
      <w:r>
        <w:rPr>
          <w:rFonts w:hint="eastAsia" w:ascii="宋体" w:hAnsi="宋体"/>
          <w:b/>
          <w:kern w:val="0"/>
          <w:szCs w:val="21"/>
        </w:rPr>
        <w:t>技术文件得分为评委个人评审计分的算术平均值。</w:t>
      </w:r>
    </w:p>
    <w:p>
      <w:pPr>
        <w:widowControl w:val="0"/>
        <w:adjustRightInd w:val="0"/>
        <w:snapToGrid w:val="0"/>
        <w:spacing w:line="360" w:lineRule="auto"/>
        <w:ind w:firstLine="738" w:firstLineChars="350"/>
        <w:rPr>
          <w:rFonts w:ascii="宋体" w:hAnsi="宋体"/>
          <w:b/>
          <w:kern w:val="0"/>
          <w:szCs w:val="21"/>
        </w:rPr>
      </w:pPr>
    </w:p>
    <w:p>
      <w:pPr>
        <w:widowControl w:val="0"/>
        <w:adjustRightInd w:val="0"/>
        <w:snapToGrid w:val="0"/>
        <w:spacing w:line="360" w:lineRule="auto"/>
        <w:ind w:firstLine="738" w:firstLineChars="350"/>
        <w:rPr>
          <w:rFonts w:ascii="宋体" w:hAnsi="宋体"/>
          <w:b/>
          <w:kern w:val="0"/>
          <w:szCs w:val="21"/>
        </w:rPr>
      </w:pPr>
    </w:p>
    <w:p>
      <w:pPr>
        <w:widowControl w:val="0"/>
        <w:spacing w:line="360" w:lineRule="auto"/>
        <w:jc w:val="both"/>
        <w:rPr>
          <w:rFonts w:ascii="宋体" w:hAnsi="宋体"/>
          <w:bCs/>
          <w:sz w:val="24"/>
        </w:rPr>
      </w:pPr>
      <w:r>
        <w:rPr>
          <w:rFonts w:hint="eastAsia" w:ascii="宋体" w:hAnsi="宋体"/>
          <w:sz w:val="24"/>
        </w:rPr>
        <w:t>评审小组</w:t>
      </w:r>
      <w:r>
        <w:rPr>
          <w:rFonts w:ascii="宋体" w:hAnsi="宋体"/>
          <w:sz w:val="24"/>
        </w:rPr>
        <w:t>成员签字：</w:t>
      </w:r>
      <w:r>
        <w:rPr>
          <w:rFonts w:hint="eastAsia" w:ascii="宋体" w:hAnsi="宋体"/>
          <w:sz w:val="24"/>
        </w:rPr>
        <w:t xml:space="preserve">                                </w:t>
      </w:r>
    </w:p>
    <w:p>
      <w:pPr>
        <w:widowControl w:val="0"/>
        <w:snapToGrid w:val="0"/>
        <w:spacing w:line="360" w:lineRule="auto"/>
        <w:outlineLvl w:val="2"/>
        <w:rPr>
          <w:rFonts w:ascii="黑体" w:hAnsi="黑体" w:eastAsia="黑体"/>
          <w:sz w:val="32"/>
          <w:szCs w:val="32"/>
        </w:rPr>
      </w:pPr>
    </w:p>
    <w:p>
      <w:pPr>
        <w:widowControl w:val="0"/>
        <w:snapToGrid w:val="0"/>
        <w:spacing w:line="360" w:lineRule="auto"/>
        <w:outlineLvl w:val="2"/>
        <w:rPr>
          <w:rFonts w:ascii="黑体" w:hAnsi="黑体" w:eastAsia="黑体"/>
          <w:sz w:val="32"/>
          <w:szCs w:val="32"/>
        </w:rPr>
      </w:pPr>
    </w:p>
    <w:p>
      <w:pPr>
        <w:widowControl w:val="0"/>
        <w:snapToGrid w:val="0"/>
        <w:spacing w:line="360" w:lineRule="auto"/>
        <w:outlineLvl w:val="2"/>
        <w:rPr>
          <w:rFonts w:ascii="黑体" w:hAnsi="黑体" w:eastAsia="黑体"/>
          <w:sz w:val="32"/>
          <w:szCs w:val="32"/>
        </w:rPr>
      </w:pPr>
    </w:p>
    <w:p>
      <w:pPr>
        <w:pStyle w:val="7"/>
        <w:spacing w:line="360" w:lineRule="auto"/>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附表3</w:t>
      </w:r>
    </w:p>
    <w:p>
      <w:pPr>
        <w:widowControl w:val="0"/>
        <w:snapToGrid w:val="0"/>
        <w:spacing w:line="360" w:lineRule="auto"/>
        <w:jc w:val="center"/>
        <w:outlineLvl w:val="2"/>
        <w:rPr>
          <w:rFonts w:ascii="黑体" w:hAnsi="黑体" w:eastAsia="黑体"/>
          <w:sz w:val="32"/>
          <w:szCs w:val="32"/>
        </w:rPr>
      </w:pPr>
      <w:r>
        <w:rPr>
          <w:rFonts w:hint="eastAsia" w:ascii="黑体" w:hAnsi="黑体" w:eastAsia="黑体"/>
          <w:sz w:val="32"/>
          <w:szCs w:val="32"/>
        </w:rPr>
        <w:t>投标报价评分表</w:t>
      </w:r>
    </w:p>
    <w:p>
      <w:pPr>
        <w:snapToGrid w:val="0"/>
        <w:spacing w:line="360" w:lineRule="auto"/>
        <w:jc w:val="both"/>
        <w:rPr>
          <w:rFonts w:ascii="宋体" w:hAnsi="宋体" w:cs="宋体"/>
          <w:bCs/>
          <w:kern w:val="0"/>
          <w:sz w:val="24"/>
          <w:u w:val="single"/>
        </w:rPr>
      </w:pPr>
      <w:r>
        <w:rPr>
          <w:rFonts w:hint="eastAsia" w:ascii="宋体" w:hAnsi="宋体"/>
          <w:sz w:val="24"/>
        </w:rPr>
        <w:t>项目名称：</w:t>
      </w:r>
      <w:r>
        <w:rPr>
          <w:rFonts w:hint="eastAsia" w:ascii="宋体" w:hAnsi="宋体" w:cs="宋体"/>
          <w:bCs/>
          <w:sz w:val="24"/>
          <w:u w:val="single"/>
        </w:rPr>
        <w:t>岳阳</w:t>
      </w:r>
      <w:r>
        <w:rPr>
          <w:rFonts w:ascii="宋体" w:hAnsi="宋体" w:cs="宋体"/>
          <w:bCs/>
          <w:sz w:val="24"/>
          <w:u w:val="single"/>
        </w:rPr>
        <w:t>城陵矶新港有限</w:t>
      </w:r>
      <w:r>
        <w:rPr>
          <w:rFonts w:hint="eastAsia" w:ascii="宋体" w:hAnsi="宋体" w:cs="宋体"/>
          <w:bCs/>
          <w:sz w:val="24"/>
          <w:u w:val="single"/>
        </w:rPr>
        <w:t>公司</w:t>
      </w:r>
      <w:r>
        <w:rPr>
          <w:rFonts w:hint="eastAsia" w:ascii="宋体" w:hAnsi="宋体" w:cs="宋体"/>
          <w:bCs/>
          <w:snapToGrid w:val="0"/>
          <w:sz w:val="24"/>
          <w:u w:val="single"/>
        </w:rPr>
        <w:t>信息化综合故障检测系统采购</w:t>
      </w:r>
    </w:p>
    <w:tbl>
      <w:tblPr>
        <w:tblStyle w:val="39"/>
        <w:tblW w:w="52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1301"/>
        <w:gridCol w:w="4598"/>
        <w:gridCol w:w="102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blHeader/>
          <w:jc w:val="center"/>
        </w:trPr>
        <w:tc>
          <w:tcPr>
            <w:tcW w:w="340"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序号</w:t>
            </w:r>
          </w:p>
        </w:tc>
        <w:tc>
          <w:tcPr>
            <w:tcW w:w="731"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评分因素</w:t>
            </w:r>
          </w:p>
        </w:tc>
        <w:tc>
          <w:tcPr>
            <w:tcW w:w="3156" w:type="pct"/>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评分标准</w:t>
            </w:r>
            <w:r>
              <w:rPr>
                <w:rFonts w:hint="eastAsia" w:asciiTheme="minorEastAsia" w:hAnsiTheme="minorEastAsia" w:eastAsiaTheme="minorEastAsia" w:cstheme="minorEastAsia"/>
                <w:b/>
                <w:sz w:val="22"/>
                <w:szCs w:val="22"/>
              </w:rPr>
              <w:t>/分值</w:t>
            </w:r>
          </w:p>
        </w:tc>
        <w:tc>
          <w:tcPr>
            <w:tcW w:w="772" w:type="pct"/>
            <w:tcBorders>
              <w:top w:val="single" w:color="auto" w:sz="4" w:space="0"/>
              <w:left w:val="single" w:color="auto" w:sz="4" w:space="0"/>
              <w:right w:val="single" w:color="auto" w:sz="4" w:space="0"/>
            </w:tcBorders>
            <w:vAlign w:val="center"/>
          </w:tcPr>
          <w:p>
            <w:pPr>
              <w:widowControl w:val="0"/>
              <w:adjustRightInd w:val="0"/>
              <w:snapToGrid w:val="0"/>
              <w:spacing w:line="360" w:lineRule="auto"/>
              <w:jc w:val="center"/>
            </w:pPr>
            <w:r>
              <w:rPr>
                <w:rFonts w:hint="eastAsia" w:eastAsiaTheme="minorEastAsia"/>
                <w:b/>
                <w:bCs/>
                <w:sz w:val="22"/>
                <w:szCs w:val="22"/>
                <w:lang w:eastAsia="zh-CN"/>
              </w:rPr>
              <w:t>供应商</w:t>
            </w:r>
            <w:r>
              <w:rPr>
                <w:rFonts w:hint="eastAsia" w:asciiTheme="minorEastAsia" w:hAnsiTheme="minorEastAsia" w:eastAsiaTheme="minorEastAsia" w:cstheme="minorEastAsia"/>
                <w:b/>
                <w:kern w:val="0"/>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1" w:hRule="atLeast"/>
          <w:jc w:val="center"/>
        </w:trPr>
        <w:tc>
          <w:tcPr>
            <w:tcW w:w="340"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731"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投标价格</w:t>
            </w:r>
          </w:p>
        </w:tc>
        <w:tc>
          <w:tcPr>
            <w:tcW w:w="2582" w:type="pct"/>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line="360" w:lineRule="auto"/>
              <w:ind w:firstLine="210" w:firstLineChars="100"/>
              <w:rPr>
                <w:rFonts w:ascii="宋体" w:hAnsi="宋体" w:cs="仿宋"/>
                <w:kern w:val="0"/>
                <w:sz w:val="21"/>
                <w:szCs w:val="21"/>
              </w:rPr>
            </w:pPr>
            <w:r>
              <w:rPr>
                <w:rFonts w:hint="eastAsia" w:ascii="宋体" w:hAnsi="宋体" w:cs="仿宋"/>
                <w:kern w:val="0"/>
                <w:sz w:val="21"/>
                <w:szCs w:val="21"/>
              </w:rPr>
              <w:t>投标报价得分＝(评标基准价/投标报价)×价格分值</w:t>
            </w:r>
          </w:p>
          <w:p>
            <w:pPr>
              <w:widowControl w:val="0"/>
              <w:adjustRightInd w:val="0"/>
              <w:snapToGrid w:val="0"/>
              <w:spacing w:line="360" w:lineRule="auto"/>
              <w:ind w:firstLine="210" w:firstLineChars="100"/>
              <w:rPr>
                <w:rFonts w:asciiTheme="minorEastAsia" w:hAnsiTheme="minorEastAsia" w:eastAsiaTheme="minorEastAsia" w:cstheme="minorEastAsia"/>
                <w:sz w:val="21"/>
                <w:szCs w:val="21"/>
              </w:rPr>
            </w:pPr>
            <w:r>
              <w:rPr>
                <w:rFonts w:hint="eastAsia" w:ascii="宋体" w:hAnsi="宋体" w:cs="仿宋"/>
                <w:kern w:val="0"/>
                <w:sz w:val="21"/>
                <w:szCs w:val="21"/>
              </w:rPr>
              <w:t>评标基准价是指满足</w:t>
            </w:r>
            <w:r>
              <w:rPr>
                <w:rFonts w:hint="eastAsia" w:ascii="宋体" w:hAnsi="宋体" w:cs="仿宋"/>
                <w:kern w:val="0"/>
                <w:sz w:val="21"/>
                <w:szCs w:val="21"/>
                <w:lang w:eastAsia="zh-CN"/>
              </w:rPr>
              <w:t>采购文件</w:t>
            </w:r>
            <w:r>
              <w:rPr>
                <w:rFonts w:hint="eastAsia" w:ascii="宋体" w:hAnsi="宋体" w:cs="仿宋"/>
                <w:kern w:val="0"/>
                <w:sz w:val="21"/>
                <w:szCs w:val="21"/>
              </w:rPr>
              <w:t>要求且价格最低的报价</w:t>
            </w:r>
          </w:p>
        </w:tc>
        <w:tc>
          <w:tcPr>
            <w:tcW w:w="573"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宋体" w:hAnsi="宋体" w:cs="宋体"/>
                <w:color w:val="000000"/>
                <w:kern w:val="0"/>
                <w:sz w:val="21"/>
                <w:szCs w:val="21"/>
                <w:lang w:bidi="ar"/>
              </w:rPr>
              <w:t>40</w:t>
            </w:r>
          </w:p>
        </w:tc>
        <w:tc>
          <w:tcPr>
            <w:tcW w:w="772"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3654" w:type="pct"/>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合计</w:t>
            </w:r>
          </w:p>
        </w:tc>
        <w:tc>
          <w:tcPr>
            <w:tcW w:w="573"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1"/>
                <w:szCs w:val="21"/>
              </w:rPr>
            </w:pPr>
            <w:r>
              <w:rPr>
                <w:rFonts w:asciiTheme="minorEastAsia" w:hAnsiTheme="minorEastAsia" w:eastAsiaTheme="minorEastAsia" w:cstheme="minorEastAsia"/>
                <w:b/>
                <w:sz w:val="21"/>
                <w:szCs w:val="21"/>
              </w:rPr>
              <w:t>4</w:t>
            </w:r>
            <w:r>
              <w:rPr>
                <w:rFonts w:hint="eastAsia" w:asciiTheme="minorEastAsia" w:hAnsiTheme="minorEastAsia" w:eastAsiaTheme="minorEastAsia" w:cstheme="minorEastAsia"/>
                <w:b/>
                <w:sz w:val="21"/>
                <w:szCs w:val="21"/>
              </w:rPr>
              <w:t>0分</w:t>
            </w:r>
          </w:p>
        </w:tc>
        <w:tc>
          <w:tcPr>
            <w:tcW w:w="772"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b/>
                <w:sz w:val="21"/>
                <w:szCs w:val="21"/>
              </w:rPr>
            </w:pPr>
          </w:p>
        </w:tc>
      </w:tr>
    </w:tbl>
    <w:p>
      <w:pPr>
        <w:pStyle w:val="2"/>
        <w:spacing w:line="360" w:lineRule="auto"/>
        <w:ind w:left="0" w:leftChars="0" w:firstLine="0" w:firstLineChars="0"/>
      </w:pPr>
    </w:p>
    <w:p>
      <w:pPr>
        <w:widowControl w:val="0"/>
        <w:spacing w:line="360" w:lineRule="auto"/>
        <w:jc w:val="both"/>
        <w:rPr>
          <w:rFonts w:ascii="宋体" w:hAnsi="宋体"/>
          <w:bCs/>
          <w:sz w:val="24"/>
        </w:rPr>
      </w:pPr>
      <w:r>
        <w:rPr>
          <w:rFonts w:hint="eastAsia" w:ascii="宋体" w:hAnsi="宋体"/>
          <w:sz w:val="24"/>
        </w:rPr>
        <w:t>评审小组</w:t>
      </w:r>
      <w:r>
        <w:rPr>
          <w:rFonts w:ascii="宋体" w:hAnsi="宋体"/>
          <w:sz w:val="24"/>
        </w:rPr>
        <w:t>全体成员签字：</w:t>
      </w:r>
      <w:r>
        <w:rPr>
          <w:rFonts w:hint="eastAsia" w:ascii="宋体" w:hAnsi="宋体"/>
          <w:sz w:val="24"/>
        </w:rPr>
        <w:t xml:space="preserve">                                监督人员签字：</w:t>
      </w:r>
    </w:p>
    <w:p>
      <w:pPr>
        <w:spacing w:line="360" w:lineRule="auto"/>
        <w:rPr>
          <w:rFonts w:ascii="黑体" w:hAnsi="黑体" w:eastAsia="黑体" w:cs="仿宋"/>
          <w:b/>
          <w:color w:val="000000"/>
          <w:sz w:val="36"/>
          <w:szCs w:val="36"/>
        </w:rPr>
      </w:pPr>
      <w:r>
        <w:rPr>
          <w:rFonts w:hint="eastAsia" w:ascii="黑体" w:hAnsi="黑体" w:eastAsia="黑体" w:cs="仿宋"/>
          <w:b/>
          <w:color w:val="000000"/>
          <w:sz w:val="36"/>
          <w:szCs w:val="36"/>
        </w:rPr>
        <w:br w:type="page"/>
      </w:r>
    </w:p>
    <w:p>
      <w:pPr>
        <w:pStyle w:val="77"/>
        <w:numPr>
          <w:ilvl w:val="255"/>
          <w:numId w:val="0"/>
        </w:numPr>
        <w:spacing w:line="360" w:lineRule="auto"/>
        <w:jc w:val="center"/>
        <w:outlineLvl w:val="0"/>
        <w:rPr>
          <w:rFonts w:ascii="黑体" w:hAnsi="黑体" w:eastAsia="黑体" w:cs="仿宋"/>
          <w:b/>
          <w:color w:val="000000"/>
          <w:sz w:val="44"/>
          <w:szCs w:val="44"/>
        </w:rPr>
      </w:pPr>
      <w:r>
        <w:rPr>
          <w:rFonts w:hint="eastAsia" w:ascii="黑体" w:hAnsi="黑体" w:eastAsia="黑体" w:cs="仿宋"/>
          <w:b/>
          <w:color w:val="000000"/>
          <w:sz w:val="44"/>
          <w:szCs w:val="44"/>
        </w:rPr>
        <w:t>第四章  合同条款及格式</w:t>
      </w:r>
      <w:bookmarkEnd w:id="14"/>
    </w:p>
    <w:p>
      <w:pPr>
        <w:spacing w:line="360" w:lineRule="auto"/>
      </w:pPr>
    </w:p>
    <w:p>
      <w:pPr>
        <w:spacing w:line="360" w:lineRule="auto"/>
        <w:jc w:val="center"/>
        <w:rPr>
          <w:u w:val="single"/>
        </w:rPr>
      </w:pPr>
      <w:r>
        <w:rPr>
          <w:rFonts w:hint="eastAsia"/>
        </w:rPr>
        <w:t xml:space="preserve">                                               </w:t>
      </w:r>
    </w:p>
    <w:p>
      <w:pPr>
        <w:spacing w:line="360" w:lineRule="auto"/>
        <w:jc w:val="both"/>
        <w:rPr>
          <w:u w:val="single"/>
        </w:rPr>
      </w:pPr>
    </w:p>
    <w:p>
      <w:pPr>
        <w:spacing w:line="360" w:lineRule="auto"/>
        <w:jc w:val="both"/>
        <w:rPr>
          <w:u w:val="single"/>
        </w:rPr>
      </w:pPr>
    </w:p>
    <w:p>
      <w:pPr>
        <w:spacing w:line="360" w:lineRule="auto"/>
        <w:jc w:val="both"/>
        <w:rPr>
          <w:u w:val="single"/>
        </w:rPr>
      </w:pPr>
    </w:p>
    <w:p>
      <w:pPr>
        <w:spacing w:line="360" w:lineRule="auto"/>
        <w:jc w:val="right"/>
        <w:rPr>
          <w:u w:val="single"/>
        </w:rPr>
      </w:pPr>
    </w:p>
    <w:p>
      <w:pPr>
        <w:pStyle w:val="77"/>
        <w:spacing w:line="360" w:lineRule="auto"/>
        <w:ind w:right="979" w:rightChars="466" w:firstLine="0" w:firstLineChars="0"/>
        <w:jc w:val="center"/>
        <w:rPr>
          <w:rFonts w:ascii="黑体" w:hAnsi="黑体" w:eastAsia="黑体" w:cs="仿宋"/>
          <w:b/>
          <w:bCs/>
          <w:color w:val="000000"/>
          <w:sz w:val="36"/>
          <w:szCs w:val="36"/>
        </w:rPr>
      </w:pPr>
      <w:r>
        <w:rPr>
          <w:rFonts w:hint="eastAsia" w:ascii="黑体" w:hAnsi="黑体" w:eastAsia="黑体" w:cs="仿宋"/>
          <w:b/>
          <w:bCs/>
          <w:color w:val="000000"/>
          <w:sz w:val="36"/>
          <w:szCs w:val="36"/>
        </w:rPr>
        <w:t>岳阳</w:t>
      </w:r>
      <w:r>
        <w:rPr>
          <w:rFonts w:ascii="黑体" w:hAnsi="黑体" w:eastAsia="黑体" w:cs="仿宋"/>
          <w:b/>
          <w:bCs/>
          <w:color w:val="000000"/>
          <w:sz w:val="36"/>
          <w:szCs w:val="36"/>
        </w:rPr>
        <w:t>城陵矶新港有限</w:t>
      </w:r>
      <w:r>
        <w:rPr>
          <w:rFonts w:hint="eastAsia" w:ascii="黑体" w:hAnsi="黑体" w:eastAsia="黑体" w:cs="仿宋"/>
          <w:b/>
          <w:bCs/>
          <w:color w:val="000000"/>
          <w:sz w:val="36"/>
          <w:szCs w:val="36"/>
        </w:rPr>
        <w:t>公司</w:t>
      </w:r>
    </w:p>
    <w:p>
      <w:pPr>
        <w:pStyle w:val="77"/>
        <w:spacing w:line="360" w:lineRule="auto"/>
        <w:ind w:right="979" w:rightChars="466" w:firstLine="0" w:firstLineChars="0"/>
        <w:jc w:val="center"/>
        <w:rPr>
          <w:rFonts w:ascii="黑体" w:hAnsi="黑体" w:eastAsia="黑体" w:cs="仿宋"/>
          <w:b/>
          <w:color w:val="000000"/>
          <w:sz w:val="36"/>
          <w:szCs w:val="36"/>
        </w:rPr>
      </w:pPr>
      <w:r>
        <w:rPr>
          <w:rFonts w:hint="eastAsia" w:ascii="黑体" w:hAnsi="黑体" w:eastAsia="黑体" w:cs="仿宋"/>
          <w:b/>
          <w:color w:val="000000"/>
          <w:sz w:val="36"/>
          <w:szCs w:val="36"/>
          <w:lang w:eastAsia="zh-Hans"/>
        </w:rPr>
        <w:t>信息化综合故障检测系统</w:t>
      </w:r>
      <w:r>
        <w:rPr>
          <w:rFonts w:hint="eastAsia" w:ascii="黑体" w:hAnsi="黑体" w:eastAsia="黑体" w:cs="仿宋"/>
          <w:b/>
          <w:color w:val="000000"/>
          <w:sz w:val="36"/>
          <w:szCs w:val="36"/>
        </w:rPr>
        <w:t>采购合同</w:t>
      </w:r>
    </w:p>
    <w:p>
      <w:pPr>
        <w:spacing w:line="360" w:lineRule="auto"/>
        <w:jc w:val="both"/>
        <w:rPr>
          <w:b/>
          <w:bCs/>
          <w:sz w:val="44"/>
          <w:szCs w:val="44"/>
        </w:rPr>
      </w:pPr>
    </w:p>
    <w:p>
      <w:pPr>
        <w:pStyle w:val="2"/>
        <w:spacing w:line="360" w:lineRule="auto"/>
        <w:ind w:firstLine="0"/>
        <w:rPr>
          <w:b/>
          <w:bCs/>
          <w:sz w:val="44"/>
          <w:szCs w:val="44"/>
        </w:rPr>
      </w:pPr>
    </w:p>
    <w:p>
      <w:pPr>
        <w:spacing w:line="360" w:lineRule="auto"/>
        <w:rPr>
          <w:b/>
          <w:bCs/>
          <w:sz w:val="44"/>
          <w:szCs w:val="44"/>
        </w:rPr>
      </w:pPr>
    </w:p>
    <w:p>
      <w:pPr>
        <w:pStyle w:val="2"/>
        <w:spacing w:line="360" w:lineRule="auto"/>
        <w:ind w:firstLine="0"/>
        <w:rPr>
          <w:b/>
          <w:bCs/>
          <w:sz w:val="44"/>
          <w:szCs w:val="44"/>
        </w:rPr>
      </w:pPr>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项目名称：</w:t>
      </w:r>
      <w:r>
        <w:rPr>
          <w:rFonts w:hint="eastAsia" w:ascii="黑体" w:hAnsi="黑体" w:eastAsia="黑体" w:cs="仿宋"/>
          <w:color w:val="000000"/>
          <w:sz w:val="32"/>
          <w:szCs w:val="32"/>
          <w:lang w:eastAsia="zh-Hans"/>
        </w:rPr>
        <w:t>信息化故障检测系统</w:t>
      </w:r>
      <w:r>
        <w:rPr>
          <w:rFonts w:hint="eastAsia" w:ascii="黑体" w:hAnsi="黑体" w:eastAsia="黑体" w:cs="仿宋"/>
          <w:color w:val="000000"/>
          <w:sz w:val="32"/>
          <w:szCs w:val="32"/>
        </w:rPr>
        <w:t>采购合同</w:t>
      </w:r>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甲    方：岳阳</w:t>
      </w:r>
      <w:r>
        <w:rPr>
          <w:rFonts w:ascii="黑体" w:hAnsi="黑体" w:eastAsia="黑体"/>
          <w:sz w:val="32"/>
          <w:szCs w:val="32"/>
        </w:rPr>
        <w:t>城陵矶新港有限</w:t>
      </w:r>
      <w:r>
        <w:rPr>
          <w:rFonts w:hint="eastAsia" w:ascii="黑体" w:hAnsi="黑体" w:eastAsia="黑体"/>
          <w:sz w:val="32"/>
          <w:szCs w:val="32"/>
        </w:rPr>
        <w:t>公司</w:t>
      </w:r>
    </w:p>
    <w:p>
      <w:pPr>
        <w:widowControl w:val="0"/>
        <w:snapToGrid w:val="0"/>
        <w:spacing w:line="360" w:lineRule="auto"/>
        <w:rPr>
          <w:rFonts w:ascii="黑体" w:hAnsi="黑体" w:eastAsia="黑体"/>
          <w:sz w:val="32"/>
          <w:szCs w:val="32"/>
        </w:rPr>
      </w:pPr>
      <w:r>
        <w:rPr>
          <w:rFonts w:hint="eastAsia" w:ascii="黑体" w:hAnsi="黑体" w:eastAsia="黑体"/>
          <w:sz w:val="32"/>
          <w:szCs w:val="32"/>
        </w:rPr>
        <w:t>乙    方：</w:t>
      </w:r>
    </w:p>
    <w:p>
      <w:pPr>
        <w:spacing w:line="360" w:lineRule="auto"/>
      </w:pPr>
    </w:p>
    <w:p>
      <w:pPr>
        <w:spacing w:line="360" w:lineRule="auto"/>
      </w:pPr>
    </w:p>
    <w:p>
      <w:pPr>
        <w:spacing w:line="360" w:lineRule="auto"/>
      </w:pPr>
    </w:p>
    <w:p>
      <w:pPr>
        <w:widowControl w:val="0"/>
        <w:snapToGrid w:val="0"/>
        <w:spacing w:line="360" w:lineRule="auto"/>
        <w:jc w:val="center"/>
        <w:outlineLvl w:val="2"/>
        <w:rPr>
          <w:rFonts w:ascii="黑体" w:hAnsi="黑体" w:eastAsia="黑体"/>
          <w:sz w:val="32"/>
          <w:szCs w:val="32"/>
        </w:rPr>
      </w:pPr>
      <w:r>
        <w:rPr>
          <w:rFonts w:hint="eastAsia" w:ascii="黑体" w:hAnsi="黑体" w:eastAsia="黑体"/>
          <w:sz w:val="32"/>
          <w:szCs w:val="32"/>
        </w:rPr>
        <w:t>签订日期：</w:t>
      </w:r>
      <w:r>
        <w:rPr>
          <w:rFonts w:ascii="黑体" w:hAnsi="黑体" w:eastAsia="黑体"/>
          <w:sz w:val="32"/>
          <w:szCs w:val="32"/>
        </w:rPr>
        <w:t>2023</w:t>
      </w:r>
      <w:r>
        <w:rPr>
          <w:rFonts w:hint="eastAsia" w:ascii="黑体" w:hAnsi="黑体" w:eastAsia="黑体"/>
          <w:sz w:val="32"/>
          <w:szCs w:val="32"/>
        </w:rPr>
        <w:t>年</w:t>
      </w:r>
      <w:r>
        <w:rPr>
          <w:rFonts w:ascii="黑体" w:hAnsi="黑体" w:eastAsia="黑体"/>
          <w:sz w:val="32"/>
          <w:szCs w:val="32"/>
        </w:rPr>
        <w:t xml:space="preserve">   </w:t>
      </w:r>
      <w:r>
        <w:rPr>
          <w:rFonts w:hint="eastAsia" w:ascii="黑体" w:hAnsi="黑体" w:eastAsia="黑体"/>
          <w:sz w:val="32"/>
          <w:szCs w:val="32"/>
        </w:rPr>
        <w:t>月</w:t>
      </w:r>
      <w:r>
        <w:rPr>
          <w:rFonts w:ascii="黑体" w:hAnsi="黑体" w:eastAsia="黑体"/>
          <w:sz w:val="32"/>
          <w:szCs w:val="32"/>
        </w:rPr>
        <w:t xml:space="preserve">   </w:t>
      </w:r>
      <w:r>
        <w:rPr>
          <w:rFonts w:hint="eastAsia" w:ascii="黑体" w:hAnsi="黑体" w:eastAsia="黑体"/>
          <w:sz w:val="32"/>
          <w:szCs w:val="32"/>
        </w:rPr>
        <w:t>日</w:t>
      </w:r>
    </w:p>
    <w:p>
      <w:pPr>
        <w:widowControl w:val="0"/>
        <w:snapToGrid w:val="0"/>
        <w:spacing w:line="360" w:lineRule="auto"/>
        <w:rPr>
          <w:rFonts w:ascii="黑体" w:hAnsi="黑体" w:eastAsia="黑体"/>
          <w:sz w:val="32"/>
          <w:szCs w:val="32"/>
          <w:u w:val="single"/>
        </w:rPr>
        <w:sectPr>
          <w:headerReference r:id="rId5" w:type="default"/>
          <w:footerReference r:id="rId6" w:type="default"/>
          <w:pgSz w:w="11900" w:h="16840"/>
          <w:pgMar w:top="1440" w:right="1800" w:bottom="1440" w:left="1800" w:header="720" w:footer="720" w:gutter="0"/>
          <w:cols w:space="720" w:num="1"/>
          <w:docGrid w:linePitch="286" w:charSpace="0"/>
        </w:sectPr>
      </w:pPr>
    </w:p>
    <w:p>
      <w:pPr>
        <w:spacing w:line="360" w:lineRule="auto"/>
        <w:ind w:firstLine="820" w:firstLineChars="227"/>
        <w:jc w:val="center"/>
        <w:rPr>
          <w:rFonts w:hint="default" w:eastAsiaTheme="minorEastAsia"/>
          <w:sz w:val="28"/>
          <w:szCs w:val="28"/>
          <w:lang w:val="en-US" w:eastAsia="zh-CN"/>
        </w:rPr>
      </w:pPr>
      <w:r>
        <w:rPr>
          <w:rFonts w:hint="eastAsia" w:cs="仿宋" w:asciiTheme="minorEastAsia" w:hAnsiTheme="minorEastAsia" w:eastAsiaTheme="minorEastAsia"/>
          <w:b/>
          <w:bCs/>
          <w:sz w:val="36"/>
          <w:szCs w:val="36"/>
        </w:rPr>
        <w:t>第一部分</w:t>
      </w:r>
      <w:r>
        <w:rPr>
          <w:rFonts w:hint="eastAsia" w:cs="仿宋" w:asciiTheme="minorEastAsia" w:hAnsiTheme="minorEastAsia" w:eastAsiaTheme="minorEastAsia"/>
          <w:b/>
          <w:bCs/>
          <w:sz w:val="36"/>
          <w:szCs w:val="36"/>
          <w:lang w:val="en-US" w:eastAsia="zh-CN"/>
        </w:rPr>
        <w:t xml:space="preserve"> 合同协议</w:t>
      </w:r>
    </w:p>
    <w:p>
      <w:pPr>
        <w:spacing w:line="360" w:lineRule="auto"/>
        <w:jc w:val="both"/>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甲方：</w:t>
      </w:r>
      <w:r>
        <w:rPr>
          <w:rFonts w:hint="eastAsia" w:cs="仿宋" w:asciiTheme="minorEastAsia" w:hAnsiTheme="minorEastAsia" w:eastAsiaTheme="minorEastAsia"/>
          <w:sz w:val="28"/>
          <w:szCs w:val="28"/>
          <w:u w:val="single"/>
        </w:rPr>
        <w:t xml:space="preserve">                 </w:t>
      </w:r>
      <w:r>
        <w:rPr>
          <w:rFonts w:hint="eastAsia" w:cs="仿宋" w:asciiTheme="minorEastAsia" w:hAnsiTheme="minorEastAsia" w:eastAsiaTheme="minorEastAsia"/>
          <w:sz w:val="28"/>
          <w:szCs w:val="28"/>
        </w:rPr>
        <w:t xml:space="preserve">                    </w:t>
      </w:r>
    </w:p>
    <w:p>
      <w:pPr>
        <w:spacing w:line="360" w:lineRule="auto"/>
        <w:jc w:val="both"/>
        <w:rPr>
          <w:rFonts w:cs="仿宋" w:asciiTheme="minorEastAsia" w:hAnsiTheme="minorEastAsia" w:eastAsiaTheme="minorEastAsia"/>
          <w:sz w:val="32"/>
          <w:szCs w:val="32"/>
          <w:u w:val="thick"/>
        </w:rPr>
      </w:pPr>
      <w:r>
        <w:rPr>
          <w:rFonts w:hint="eastAsia" w:cs="仿宋" w:asciiTheme="minorEastAsia" w:hAnsiTheme="minorEastAsia" w:eastAsiaTheme="minorEastAsia"/>
          <w:sz w:val="28"/>
          <w:szCs w:val="28"/>
        </w:rPr>
        <w:t>乙方：</w:t>
      </w:r>
      <w:r>
        <w:rPr>
          <w:rFonts w:hint="eastAsia" w:cs="仿宋" w:asciiTheme="minorEastAsia" w:hAnsiTheme="minorEastAsia" w:eastAsiaTheme="minorEastAsia"/>
          <w:sz w:val="28"/>
          <w:szCs w:val="28"/>
          <w:u w:val="single"/>
        </w:rPr>
        <w:t xml:space="preserve">                 </w:t>
      </w:r>
      <w:r>
        <w:rPr>
          <w:rFonts w:hint="eastAsia" w:cs="仿宋" w:asciiTheme="minorEastAsia" w:hAnsiTheme="minorEastAsia" w:eastAsiaTheme="minorEastAsia"/>
          <w:sz w:val="28"/>
          <w:szCs w:val="28"/>
        </w:rPr>
        <w:t xml:space="preserve"> </w:t>
      </w:r>
      <w:r>
        <w:rPr>
          <w:rFonts w:hint="eastAsia" w:cs="仿宋" w:asciiTheme="minorEastAsia" w:hAnsiTheme="minorEastAsia" w:eastAsiaTheme="minorEastAsia"/>
          <w:sz w:val="32"/>
          <w:szCs w:val="32"/>
        </w:rPr>
        <w:t xml:space="preserve">         </w:t>
      </w:r>
    </w:p>
    <w:p>
      <w:pPr>
        <w:spacing w:line="360" w:lineRule="auto"/>
        <w:ind w:firstLine="544" w:firstLineChars="227"/>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依照《中华人民共和国民法典》以及其他有关法律、行政法规，遵循平等、自愿、公平和诚实信用的原则，经双方共同协商，双方签订本合同协议书，双方共同遵照执行。 </w:t>
      </w:r>
    </w:p>
    <w:p>
      <w:pPr>
        <w:pStyle w:val="2"/>
        <w:numPr>
          <w:ilvl w:val="0"/>
          <w:numId w:val="3"/>
        </w:numPr>
        <w:spacing w:line="360" w:lineRule="auto"/>
        <w:ind w:firstLine="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项目概况</w:t>
      </w:r>
    </w:p>
    <w:p>
      <w:pPr>
        <w:pStyle w:val="77"/>
        <w:spacing w:line="360" w:lineRule="auto"/>
        <w:ind w:right="979" w:rightChars="466" w:firstLine="480"/>
        <w:jc w:val="both"/>
        <w:rPr>
          <w:rFonts w:cs="仿宋" w:asciiTheme="minorEastAsia" w:hAnsiTheme="minorEastAsia" w:eastAsiaTheme="minorEastAsia"/>
          <w:kern w:val="2"/>
          <w:u w:val="single"/>
        </w:rPr>
      </w:pPr>
      <w:r>
        <w:rPr>
          <w:rFonts w:hint="eastAsia" w:cs="仿宋" w:asciiTheme="minorEastAsia" w:hAnsiTheme="minorEastAsia" w:eastAsiaTheme="minorEastAsia"/>
        </w:rPr>
        <w:t>1.采购项目名称：</w:t>
      </w:r>
      <w:r>
        <w:rPr>
          <w:rFonts w:hint="eastAsia" w:cs="仿宋" w:asciiTheme="minorEastAsia" w:hAnsiTheme="minorEastAsia" w:eastAsiaTheme="minorEastAsia"/>
          <w:kern w:val="2"/>
          <w:u w:val="single"/>
        </w:rPr>
        <w:t>岳阳城陵矶新港有限公司</w:t>
      </w:r>
      <w:r>
        <w:rPr>
          <w:rFonts w:hint="eastAsia" w:cs="仿宋" w:asciiTheme="minorEastAsia" w:hAnsiTheme="minorEastAsia" w:eastAsiaTheme="minorEastAsia"/>
          <w:kern w:val="2"/>
          <w:u w:val="single"/>
          <w:lang w:eastAsia="zh-Hans"/>
        </w:rPr>
        <w:t>信息化综合故障检测系统</w:t>
      </w:r>
      <w:r>
        <w:rPr>
          <w:rFonts w:hint="eastAsia" w:cs="仿宋" w:asciiTheme="minorEastAsia" w:hAnsiTheme="minorEastAsia" w:eastAsiaTheme="minorEastAsia"/>
          <w:kern w:val="2"/>
          <w:u w:val="single"/>
        </w:rPr>
        <w:t>采购合同</w:t>
      </w:r>
    </w:p>
    <w:p>
      <w:pPr>
        <w:pStyle w:val="2"/>
        <w:spacing w:line="360" w:lineRule="auto"/>
        <w:ind w:left="420" w:firstLine="0"/>
        <w:rPr>
          <w:rFonts w:cs="仿宋" w:asciiTheme="minorEastAsia" w:hAnsiTheme="minorEastAsia" w:eastAsiaTheme="minorEastAsia"/>
          <w:snapToGrid/>
          <w:kern w:val="2"/>
          <w:szCs w:val="24"/>
        </w:rPr>
      </w:pPr>
      <w:r>
        <w:rPr>
          <w:rFonts w:hint="eastAsia" w:cs="仿宋" w:asciiTheme="minorEastAsia" w:hAnsiTheme="minorEastAsia" w:eastAsiaTheme="minorEastAsia"/>
          <w:snapToGrid/>
          <w:kern w:val="2"/>
          <w:szCs w:val="24"/>
        </w:rPr>
        <w:t>2.项目地点：</w:t>
      </w:r>
      <w:r>
        <w:rPr>
          <w:rFonts w:hint="eastAsia" w:cs="仿宋" w:asciiTheme="minorEastAsia" w:hAnsiTheme="minorEastAsia" w:eastAsiaTheme="minorEastAsia"/>
          <w:snapToGrid/>
          <w:kern w:val="2"/>
          <w:szCs w:val="24"/>
          <w:u w:val="single"/>
        </w:rPr>
        <w:t>岳阳城陵矶新港有限公司</w:t>
      </w:r>
    </w:p>
    <w:p>
      <w:pPr>
        <w:pStyle w:val="2"/>
        <w:spacing w:line="360" w:lineRule="auto"/>
        <w:rPr>
          <w:rFonts w:hint="eastAsia" w:cs="仿宋" w:asciiTheme="minorEastAsia" w:hAnsiTheme="minorEastAsia" w:eastAsiaTheme="minorEastAsia"/>
          <w:snapToGrid/>
          <w:kern w:val="2"/>
          <w:sz w:val="24"/>
          <w:szCs w:val="24"/>
          <w:lang w:val="en-US" w:eastAsia="zh-CN" w:bidi="ar-SA"/>
        </w:rPr>
      </w:pPr>
      <w:r>
        <w:rPr>
          <w:rFonts w:hint="eastAsia" w:cs="仿宋" w:asciiTheme="minorEastAsia" w:hAnsiTheme="minorEastAsia" w:eastAsiaTheme="minorEastAsia"/>
        </w:rPr>
        <w:t>3.项目内容：</w:t>
      </w:r>
      <w:r>
        <w:rPr>
          <w:rFonts w:hint="eastAsia" w:cs="仿宋" w:asciiTheme="minorEastAsia" w:hAnsiTheme="minorEastAsia" w:eastAsiaTheme="minorEastAsia"/>
          <w:snapToGrid/>
          <w:kern w:val="2"/>
          <w:sz w:val="24"/>
          <w:szCs w:val="24"/>
          <w:lang w:val="en-US" w:eastAsia="zh-Hans" w:bidi="ar-SA"/>
        </w:rPr>
        <w:t>信息化综合故障检测系统一套，包含：</w:t>
      </w:r>
      <w:r>
        <w:rPr>
          <w:rFonts w:hint="eastAsia" w:cs="仿宋" w:asciiTheme="minorEastAsia" w:hAnsiTheme="minorEastAsia" w:eastAsiaTheme="minorEastAsia"/>
          <w:snapToGrid/>
          <w:kern w:val="2"/>
          <w:sz w:val="24"/>
          <w:szCs w:val="24"/>
          <w:lang w:val="en-US" w:eastAsia="zh-CN" w:bidi="ar-SA"/>
        </w:rPr>
        <w:t>港口信息化综合故障检测中心平台、</w:t>
      </w:r>
      <w:r>
        <w:rPr>
          <w:rFonts w:hint="eastAsia" w:cs="仿宋" w:asciiTheme="minorEastAsia" w:hAnsiTheme="minorEastAsia" w:eastAsiaTheme="minorEastAsia"/>
          <w:snapToGrid/>
          <w:kern w:val="2"/>
          <w:sz w:val="24"/>
          <w:szCs w:val="24"/>
          <w:lang w:val="en-US" w:eastAsia="zh-Hans" w:bidi="ar-SA"/>
        </w:rPr>
        <w:t>全链路可观测追踪分析系统、智能故障排查系统、数据中台、智能告警系统、业务可观测系统、</w:t>
      </w:r>
      <w:r>
        <w:rPr>
          <w:rFonts w:hint="eastAsia" w:cs="仿宋" w:asciiTheme="minorEastAsia" w:hAnsiTheme="minorEastAsia" w:eastAsiaTheme="minorEastAsia"/>
          <w:snapToGrid/>
          <w:kern w:val="2"/>
          <w:sz w:val="24"/>
          <w:szCs w:val="24"/>
          <w:lang w:val="en-US" w:eastAsia="zh-CN" w:bidi="ar-SA"/>
        </w:rPr>
        <w:t>港口信息化综合故障检测系统软件定制开发及专用</w:t>
      </w:r>
      <w:r>
        <w:rPr>
          <w:rFonts w:hint="eastAsia" w:cs="仿宋" w:asciiTheme="minorEastAsia" w:hAnsiTheme="minorEastAsia" w:eastAsiaTheme="minorEastAsia"/>
          <w:snapToGrid/>
          <w:kern w:val="2"/>
          <w:sz w:val="24"/>
          <w:szCs w:val="24"/>
          <w:lang w:val="en-US" w:eastAsia="zh-Hans" w:bidi="ar-SA"/>
        </w:rPr>
        <w:t>服务器</w:t>
      </w:r>
      <w:r>
        <w:rPr>
          <w:rFonts w:hint="eastAsia" w:cs="仿宋" w:asciiTheme="minorEastAsia" w:hAnsiTheme="minorEastAsia" w:eastAsiaTheme="minorEastAsia"/>
          <w:snapToGrid/>
          <w:kern w:val="2"/>
          <w:sz w:val="24"/>
          <w:szCs w:val="24"/>
          <w:lang w:val="en-US" w:eastAsia="zh-CN" w:bidi="ar-SA"/>
        </w:rPr>
        <w:t>。包含新设备采购、软件开发及后期安装调试、培训服务。</w:t>
      </w:r>
    </w:p>
    <w:p>
      <w:pPr>
        <w:pStyle w:val="2"/>
        <w:spacing w:line="360" w:lineRule="auto"/>
        <w:ind w:firstLine="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二、项目期限</w:t>
      </w:r>
    </w:p>
    <w:p>
      <w:pPr>
        <w:snapToGrid w:val="0"/>
        <w:spacing w:line="360" w:lineRule="auto"/>
        <w:ind w:firstLine="480" w:firstLineChars="200"/>
        <w:rPr>
          <w:rFonts w:ascii="宋体" w:hAnsi="宋体" w:cs="宋体"/>
          <w:sz w:val="24"/>
        </w:rPr>
      </w:pPr>
      <w:r>
        <w:rPr>
          <w:rFonts w:hint="eastAsia" w:cs="仿宋" w:asciiTheme="minorEastAsia" w:hAnsiTheme="minorEastAsia" w:eastAsiaTheme="minorEastAsia"/>
          <w:sz w:val="24"/>
        </w:rPr>
        <w:t>本合同总工期30个工作日，</w:t>
      </w:r>
      <w:r>
        <w:rPr>
          <w:rFonts w:hint="eastAsia" w:ascii="宋体" w:hAnsi="宋体" w:cs="宋体"/>
          <w:sz w:val="24"/>
        </w:rPr>
        <w:t>具体开工日期以甲方通知为准，在施工过程中，如遇下列情况，可顺延工期,顺延期限，应由双方协商。</w:t>
      </w:r>
    </w:p>
    <w:p>
      <w:pPr>
        <w:numPr>
          <w:ilvl w:val="0"/>
          <w:numId w:val="4"/>
        </w:numPr>
        <w:snapToGrid w:val="0"/>
        <w:spacing w:line="360" w:lineRule="auto"/>
        <w:ind w:firstLine="480" w:firstLineChars="200"/>
        <w:rPr>
          <w:rFonts w:ascii="宋体" w:hAnsi="宋体" w:cs="宋体"/>
          <w:sz w:val="24"/>
        </w:rPr>
      </w:pPr>
      <w:r>
        <w:rPr>
          <w:rFonts w:hint="eastAsia" w:ascii="宋体" w:hAnsi="宋体" w:cs="宋体"/>
          <w:sz w:val="24"/>
        </w:rPr>
        <w:t>由于人力不可抗拒的灾害，而被迫停工。</w:t>
      </w:r>
    </w:p>
    <w:p>
      <w:pPr>
        <w:pStyle w:val="3"/>
        <w:numPr>
          <w:ilvl w:val="0"/>
          <w:numId w:val="4"/>
        </w:numPr>
        <w:spacing w:line="360" w:lineRule="auto"/>
        <w:ind w:firstLine="480" w:firstLineChars="200"/>
        <w:rPr>
          <w:rFonts w:ascii="宋体" w:hAnsi="宋体" w:cs="宋体"/>
          <w:sz w:val="24"/>
        </w:rPr>
      </w:pPr>
      <w:r>
        <w:rPr>
          <w:rFonts w:hint="eastAsia" w:ascii="宋体" w:hAnsi="宋体" w:cs="宋体"/>
          <w:sz w:val="24"/>
        </w:rPr>
        <w:t>因甲方变更计划或变更施工图，或因特殊外来因素干扰，而不能继续施工。</w:t>
      </w:r>
    </w:p>
    <w:p>
      <w:pPr>
        <w:pStyle w:val="3"/>
        <w:spacing w:after="0" w:line="360" w:lineRule="auto"/>
        <w:ind w:firstLine="480" w:firstLineChars="200"/>
        <w:rPr>
          <w:rFonts w:cs="仿宋" w:asciiTheme="minorEastAsia" w:hAnsiTheme="minorEastAsia" w:eastAsiaTheme="minorEastAsia"/>
          <w:b/>
          <w:bCs/>
          <w:sz w:val="32"/>
          <w:szCs w:val="32"/>
        </w:rPr>
      </w:pPr>
      <w:r>
        <w:rPr>
          <w:rFonts w:hint="eastAsia" w:ascii="宋体" w:hAnsi="宋体" w:cs="宋体"/>
          <w:bCs/>
          <w:sz w:val="24"/>
        </w:rPr>
        <w:t>3、其他非乙方原因（如停电停水、雨水天气等）影响乙方施工进度。</w:t>
      </w:r>
    </w:p>
    <w:p>
      <w:pPr>
        <w:pStyle w:val="2"/>
        <w:spacing w:line="360" w:lineRule="auto"/>
        <w:ind w:firstLine="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三、合同金额</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本工程合同暂定总价为人民币</w:t>
      </w:r>
      <w:r>
        <w:rPr>
          <w:rFonts w:hint="eastAsia" w:cs="仿宋" w:asciiTheme="minorEastAsia" w:hAnsiTheme="minorEastAsia" w:eastAsiaTheme="minorEastAsia"/>
          <w:sz w:val="24"/>
          <w:lang w:val="en-US" w:eastAsia="zh-CN"/>
        </w:rPr>
        <w:t xml:space="preserve">   </w:t>
      </w:r>
      <w:r>
        <w:rPr>
          <w:rFonts w:hint="eastAsia" w:cs="仿宋" w:asciiTheme="minorEastAsia" w:hAnsiTheme="minorEastAsia" w:eastAsiaTheme="minorEastAsia"/>
          <w:sz w:val="24"/>
        </w:rPr>
        <w:t xml:space="preserve">   元（大写：   ），税率为   ，合同总价是指双方认可的</w:t>
      </w:r>
      <w:r>
        <w:rPr>
          <w:rFonts w:hint="eastAsia" w:cs="仿宋" w:asciiTheme="minorEastAsia" w:hAnsiTheme="minorEastAsia" w:eastAsiaTheme="minorEastAsia"/>
          <w:sz w:val="24"/>
          <w:lang w:val="en-US" w:eastAsia="zh-CN"/>
        </w:rPr>
        <w:t>项目内容中</w:t>
      </w:r>
      <w:r>
        <w:rPr>
          <w:rFonts w:hint="eastAsia" w:cs="仿宋" w:asciiTheme="minorEastAsia" w:hAnsiTheme="minorEastAsia" w:eastAsiaTheme="minorEastAsia"/>
          <w:sz w:val="24"/>
        </w:rPr>
        <w:t>“工作量清单”所含材料以</w:t>
      </w:r>
      <w:bookmarkStart w:id="53" w:name="_GoBack"/>
      <w:bookmarkEnd w:id="53"/>
      <w:r>
        <w:rPr>
          <w:rFonts w:hint="eastAsia" w:cs="仿宋" w:asciiTheme="minorEastAsia" w:hAnsiTheme="minorEastAsia" w:eastAsiaTheme="minorEastAsia"/>
          <w:sz w:val="24"/>
        </w:rPr>
        <w:t>及安装、安全、搬运等乙方履行本合同义务的所有费用。由于可能涉及一些隐蔽工程，非清单上的材料以及相关费用，以现场签证的形式双方认可，签证费用以甲方聘请第三方结算评审机构评审费用为准。否则，乙方不得要求甲方支付非经甲方认可的其他费用。</w:t>
      </w:r>
    </w:p>
    <w:p>
      <w:pPr>
        <w:pStyle w:val="2"/>
        <w:spacing w:line="360" w:lineRule="auto"/>
        <w:ind w:firstLine="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四、付款方式</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1、按项目进度支付采购货款，合同签订后预付合同总价的30%（在乙方开具</w:t>
      </w:r>
      <w:r>
        <w:rPr>
          <w:rFonts w:hint="eastAsia" w:cs="仿宋" w:asciiTheme="minorEastAsia" w:hAnsiTheme="minorEastAsia" w:eastAsiaTheme="minorEastAsia"/>
          <w:sz w:val="24"/>
          <w:lang w:val="en-US" w:eastAsia="zh-CN"/>
        </w:rPr>
        <w:t>符合甲方要求的发票后</w:t>
      </w:r>
      <w:r>
        <w:rPr>
          <w:rFonts w:hint="eastAsia" w:cs="仿宋" w:asciiTheme="minorEastAsia" w:hAnsiTheme="minorEastAsia" w:eastAsiaTheme="minorEastAsia"/>
          <w:sz w:val="24"/>
        </w:rPr>
        <w:t>5天之内），项目经甲方竣工验收合格</w:t>
      </w:r>
      <w:r>
        <w:rPr>
          <w:rFonts w:hint="eastAsia" w:cs="仿宋" w:asciiTheme="minorEastAsia" w:hAnsiTheme="minorEastAsia" w:eastAsiaTheme="minorEastAsia"/>
          <w:sz w:val="24"/>
          <w:lang w:val="en-US" w:eastAsia="zh-CN"/>
        </w:rPr>
        <w:t>且</w:t>
      </w:r>
      <w:r>
        <w:rPr>
          <w:rFonts w:hint="eastAsia" w:cs="仿宋" w:asciiTheme="minorEastAsia" w:hAnsiTheme="minorEastAsia" w:eastAsiaTheme="minorEastAsia"/>
          <w:sz w:val="24"/>
        </w:rPr>
        <w:t>乙方开具增值税全额发票后甲方在一个月内支付67%验收款，余3%质保金质保期满后十天内无息支付。质保期</w:t>
      </w:r>
      <w:r>
        <w:rPr>
          <w:rFonts w:hint="eastAsia" w:ascii="宋体" w:hAnsi="宋体" w:cs="宋体"/>
          <w:color w:val="000000" w:themeColor="text1"/>
          <w:kern w:val="0"/>
          <w:sz w:val="24"/>
          <w14:textFill>
            <w14:solidFill>
              <w14:schemeClr w14:val="tx1"/>
            </w14:solidFill>
          </w14:textFill>
        </w:rPr>
        <w:t>硬件叄年，软件壹年</w:t>
      </w:r>
      <w:r>
        <w:rPr>
          <w:rFonts w:hint="eastAsia" w:cs="仿宋" w:asciiTheme="minorEastAsia" w:hAnsiTheme="minorEastAsia" w:eastAsiaTheme="minorEastAsia"/>
          <w:sz w:val="24"/>
        </w:rPr>
        <w:t>，从甲方验收合格之日起算。</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2、付款方式含</w:t>
      </w:r>
      <w:r>
        <w:rPr>
          <w:rFonts w:hint="eastAsia" w:cs="仿宋" w:asciiTheme="minorEastAsia" w:hAnsiTheme="minorEastAsia" w:eastAsiaTheme="minorEastAsia"/>
          <w:sz w:val="24"/>
          <w:lang w:val="en-US" w:eastAsia="zh-CN"/>
        </w:rPr>
        <w:t>银行</w:t>
      </w:r>
      <w:r>
        <w:rPr>
          <w:rFonts w:hint="eastAsia" w:cs="仿宋" w:asciiTheme="minorEastAsia" w:hAnsiTheme="minorEastAsia" w:eastAsiaTheme="minorEastAsia"/>
          <w:sz w:val="24"/>
        </w:rPr>
        <w:t>承兑汇票（</w:t>
      </w:r>
      <w:r>
        <w:rPr>
          <w:rFonts w:hint="eastAsia" w:cs="仿宋" w:asciiTheme="minorEastAsia" w:hAnsiTheme="minorEastAsia" w:eastAsiaTheme="minorEastAsia"/>
          <w:sz w:val="24"/>
          <w:lang w:val="en-US" w:eastAsia="zh-CN"/>
        </w:rPr>
        <w:t>银行</w:t>
      </w:r>
      <w:r>
        <w:rPr>
          <w:rFonts w:hint="eastAsia" w:cs="仿宋" w:asciiTheme="minorEastAsia" w:hAnsiTheme="minorEastAsia" w:eastAsiaTheme="minorEastAsia"/>
          <w:sz w:val="24"/>
        </w:rPr>
        <w:t>承兑汇票金额不超过50%）。</w:t>
      </w:r>
    </w:p>
    <w:p>
      <w:pPr>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3、甲方付款前，乙方应当开具相应金额的增值税专用发票（工程预付款除外），否则，甲方有权顺延付款。</w:t>
      </w:r>
    </w:p>
    <w:p>
      <w:pPr>
        <w:pStyle w:val="2"/>
        <w:spacing w:line="360" w:lineRule="auto"/>
        <w:ind w:firstLine="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五、物资试验与检验</w:t>
      </w:r>
    </w:p>
    <w:p>
      <w:pPr>
        <w:snapToGrid w:val="0"/>
        <w:spacing w:line="360" w:lineRule="auto"/>
        <w:ind w:firstLine="600"/>
        <w:rPr>
          <w:rFonts w:hint="default" w:ascii="宋体" w:hAnsi="宋体" w:eastAsia="宋体" w:cs="宋体"/>
          <w:sz w:val="24"/>
          <w:lang w:val="en-US" w:eastAsia="zh-CN"/>
        </w:rPr>
      </w:pPr>
      <w:r>
        <w:rPr>
          <w:rFonts w:hint="eastAsia" w:ascii="宋体" w:hAnsi="宋体" w:cs="宋体"/>
          <w:sz w:val="24"/>
        </w:rPr>
        <w:t>本次采购为包工包料工程，全部施工材料及设备均由乙方采购供应到现场或指定施工地点。乙方采购施工材料应符合国家标准，有合格证明的材料，在进场时必须由甲方负责验证。如无合格证明，必须经甲方试验检验合格后方准使用，其试验检验费用，应由乙方负担。</w:t>
      </w:r>
      <w:r>
        <w:rPr>
          <w:rFonts w:hint="eastAsia" w:ascii="宋体" w:hAnsi="宋体" w:cs="宋体"/>
          <w:sz w:val="24"/>
          <w:lang w:val="en-US" w:eastAsia="zh-CN"/>
        </w:rPr>
        <w:t>未经甲方试验检验合格的，乙方不得擅自使用，否则甲方有权要求乙方拆除后重新施工，并由乙方承担因此产生的全部责任。</w:t>
      </w:r>
    </w:p>
    <w:p>
      <w:pPr>
        <w:pStyle w:val="2"/>
        <w:spacing w:line="360" w:lineRule="auto"/>
        <w:ind w:firstLine="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六、工程质量</w:t>
      </w:r>
    </w:p>
    <w:p>
      <w:pPr>
        <w:spacing w:line="360" w:lineRule="auto"/>
        <w:ind w:firstLine="600"/>
        <w:rPr>
          <w:rFonts w:ascii="宋体" w:hAnsi="宋体" w:cs="宋体"/>
          <w:kern w:val="0"/>
          <w:sz w:val="24"/>
        </w:rPr>
      </w:pPr>
      <w:r>
        <w:rPr>
          <w:rFonts w:hint="eastAsia" w:ascii="宋体" w:hAnsi="宋体" w:cs="宋体"/>
          <w:kern w:val="0"/>
          <w:sz w:val="24"/>
        </w:rPr>
        <w:t>本工程质量标准为:必须达到响应文件及国家相关规定的标准，未规定标准的，按国家地方或行业的标准执行。</w:t>
      </w:r>
    </w:p>
    <w:p>
      <w:pPr>
        <w:spacing w:line="360" w:lineRule="auto"/>
        <w:ind w:firstLine="6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程竣工后，乙方需向甲方提交完整的工程资料并提交《验收通知单》，并在五个工作日内进行验收。验收过程中发现不符合要求的，需要返工的，甲方向乙方提交《工程验收意见书》。乙方按意见书的整改意见负责无偿修理或返工，并在双方议定的措施和期限内完成。</w:t>
      </w:r>
    </w:p>
    <w:p>
      <w:pPr>
        <w:pStyle w:val="3"/>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本工程质保期硬件叄年，软件壹年，自工程经甲方验收合格之日起。</w:t>
      </w:r>
    </w:p>
    <w:p>
      <w:pPr>
        <w:pStyle w:val="2"/>
        <w:spacing w:line="360" w:lineRule="auto"/>
        <w:ind w:firstLine="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七、安全文明施工</w:t>
      </w:r>
    </w:p>
    <w:p>
      <w:pPr>
        <w:pStyle w:val="3"/>
        <w:spacing w:line="360" w:lineRule="auto"/>
        <w:ind w:firstLine="6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1、甲方负责提供乙方施工必须的且符合安全要求的场所，对施工人员进行入场前的安全规章制度教育及现场安全技术交底。</w:t>
      </w:r>
    </w:p>
    <w:p>
      <w:pPr>
        <w:tabs>
          <w:tab w:val="left" w:pos="1830"/>
        </w:tabs>
        <w:spacing w:line="360" w:lineRule="auto"/>
        <w:ind w:firstLine="480" w:firstLineChars="200"/>
        <w:rPr>
          <w:rFonts w:ascii="宋体" w:hAnsi="宋体" w:cs="宋体"/>
          <w:sz w:val="24"/>
        </w:rPr>
      </w:pPr>
      <w:r>
        <w:rPr>
          <w:rFonts w:hint="eastAsia" w:ascii="宋体" w:hAnsi="宋体" w:cs="宋体"/>
          <w:sz w:val="24"/>
        </w:rPr>
        <w:t>2、乙方施工作业期间，服从甲方工程技术部门、安全监督管理部门安全生产监管，如发现存在安全隐患时，施工现场甲方管理人员有权对施工中存在施工质量以及安全隐患提出停工整改意见，乙方要及时进行处理，直至消除安全隐患为止。</w:t>
      </w:r>
    </w:p>
    <w:p>
      <w:pPr>
        <w:tabs>
          <w:tab w:val="left" w:pos="1830"/>
        </w:tabs>
        <w:spacing w:line="360" w:lineRule="auto"/>
        <w:ind w:firstLine="480" w:firstLineChars="200"/>
        <w:rPr>
          <w:rFonts w:ascii="宋体" w:hAnsi="宋体" w:cs="宋体"/>
          <w:sz w:val="24"/>
        </w:rPr>
      </w:pPr>
      <w:r>
        <w:rPr>
          <w:rFonts w:hint="eastAsia" w:ascii="宋体" w:hAnsi="宋体" w:cs="宋体"/>
          <w:sz w:val="24"/>
        </w:rPr>
        <w:t>3、乙方施工人员施工过程中</w:t>
      </w:r>
      <w:r>
        <w:rPr>
          <w:rFonts w:hint="eastAsia" w:ascii="宋体" w:hAnsi="宋体" w:cs="宋体"/>
          <w:color w:val="000000" w:themeColor="text1"/>
          <w:sz w:val="24"/>
          <w14:textFill>
            <w14:solidFill>
              <w14:schemeClr w14:val="tx1"/>
            </w14:solidFill>
          </w14:textFill>
        </w:rPr>
        <w:t>由于自身或非甲方原因</w:t>
      </w:r>
      <w:r>
        <w:rPr>
          <w:rFonts w:hint="eastAsia" w:ascii="宋体" w:hAnsi="宋体" w:cs="宋体"/>
          <w:sz w:val="24"/>
        </w:rPr>
        <w:t>发生的安全事故（包括人身伤亡事故、财产损失事故），一切责任及经济损失均由乙方承担，甲方不承担责任及经济损失；若因此导致甲方代为垫付或需面临诉讼等的，甲方垫付费用及解决纠纷（包含律师费、差旅费等）所需费用概由乙方承担。</w:t>
      </w:r>
    </w:p>
    <w:p>
      <w:pPr>
        <w:tabs>
          <w:tab w:val="left" w:pos="1830"/>
        </w:tabs>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color w:val="000000" w:themeColor="text1"/>
          <w:sz w:val="24"/>
          <w14:textFill>
            <w14:solidFill>
              <w14:schemeClr w14:val="tx1"/>
            </w14:solidFill>
          </w14:textFill>
        </w:rPr>
        <w:t>乙方应负责为施工场地内其人员、办理工伤保险或人身意外伤害保险，相关保险凭证应提交甲方审核。无论乙方是否办理保险，施工场地内施工人员生命财产（包括乙方雇员突发疾病、伤亡等意外事件导致的责任）和施工设备（包括场地内乙方施工设备和材料等）安全责任由乙方承担。由于乙方原因或乙方雇佣的员工原因导致的任何第三方对甲方提出的正常合理诉讼、索赔、或政府有关部门对甲方进行行政处罚的，甲方由此遭受的直接</w:t>
      </w:r>
      <w:r>
        <w:rPr>
          <w:rFonts w:hint="eastAsia" w:ascii="宋体" w:hAnsi="宋体" w:cs="宋体"/>
          <w:sz w:val="24"/>
        </w:rPr>
        <w:t>损失由乙方承担，乙方并应向甲方支付相当于合同总价的5%作为违约金。</w:t>
      </w:r>
    </w:p>
    <w:p>
      <w:pPr>
        <w:pStyle w:val="3"/>
        <w:spacing w:line="360" w:lineRule="auto"/>
        <w:ind w:firstLine="600"/>
        <w:rPr>
          <w:rFonts w:ascii="宋体" w:hAnsi="宋体" w:cs="宋体"/>
          <w:sz w:val="24"/>
        </w:rPr>
      </w:pPr>
      <w:r>
        <w:rPr>
          <w:rFonts w:hint="eastAsia" w:ascii="宋体" w:hAnsi="宋体" w:cs="宋体"/>
          <w:sz w:val="24"/>
        </w:rPr>
        <w:t>5、乙方如需动火必须经过甲方出具的动火令。</w:t>
      </w:r>
    </w:p>
    <w:p>
      <w:pPr>
        <w:pStyle w:val="3"/>
        <w:spacing w:line="360" w:lineRule="auto"/>
        <w:ind w:firstLine="600"/>
        <w:rPr>
          <w:rFonts w:ascii="宋体" w:hAnsi="宋体" w:cs="宋体"/>
          <w:sz w:val="24"/>
        </w:rPr>
      </w:pPr>
      <w:r>
        <w:rPr>
          <w:rFonts w:hint="eastAsia" w:ascii="宋体" w:hAnsi="宋体" w:cs="宋体"/>
          <w:sz w:val="24"/>
        </w:rPr>
        <w:t>6、乙方签订本协议的同时需与甲方签订安全责任书。</w:t>
      </w:r>
    </w:p>
    <w:p>
      <w:pPr>
        <w:pStyle w:val="3"/>
        <w:spacing w:line="360" w:lineRule="auto"/>
        <w:ind w:firstLine="6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7、乙方负责施工场所的文明卫生和施工所产生的废旧物资的处理，甲方负责配合并开具物资出门条。</w:t>
      </w:r>
    </w:p>
    <w:p>
      <w:pPr>
        <w:pStyle w:val="2"/>
        <w:spacing w:line="360" w:lineRule="auto"/>
        <w:ind w:firstLine="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八、违约责任</w:t>
      </w:r>
    </w:p>
    <w:p>
      <w:pPr>
        <w:pStyle w:val="3"/>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甲方未按本合同约定支付乙方工程款，应按欠款部分日万分之五承担违约金、且以及由此造成工期延误的情况不计入工程逾期。</w:t>
      </w:r>
    </w:p>
    <w:p>
      <w:pPr>
        <w:spacing w:line="360" w:lineRule="auto"/>
        <w:ind w:firstLine="480" w:firstLineChars="200"/>
        <w:rPr>
          <w:rFonts w:ascii="宋体" w:hAnsi="宋体" w:cs="宋体"/>
          <w:sz w:val="24"/>
        </w:rPr>
      </w:pPr>
      <w:r>
        <w:rPr>
          <w:rFonts w:hint="eastAsia" w:ascii="宋体" w:hAnsi="宋体" w:cs="宋体"/>
          <w:kern w:val="0"/>
          <w:sz w:val="24"/>
        </w:rPr>
        <w:t>2、乙方因自身原因不能按合同约定时间履行完毕工程竣工等合同约定义务的，每逾期一天，</w:t>
      </w:r>
      <w:r>
        <w:rPr>
          <w:rFonts w:hint="eastAsia" w:ascii="宋体" w:hAnsi="宋体" w:cs="宋体"/>
          <w:sz w:val="24"/>
        </w:rPr>
        <w:t>按合同总额的万分之五计日支付违约金，依次类推。由甲方直接从乙方工程价款中扣除。逾期超过二十天的，甲方有权解除本合同，</w:t>
      </w:r>
      <w:r>
        <w:rPr>
          <w:rFonts w:hint="eastAsia" w:ascii="宋体" w:hAnsi="宋体" w:cs="宋体"/>
          <w:sz w:val="24"/>
          <w:lang w:val="en-US" w:eastAsia="zh-CN"/>
        </w:rPr>
        <w:t>要求乙方退还全部费用，</w:t>
      </w:r>
      <w:r>
        <w:rPr>
          <w:rFonts w:hint="eastAsia" w:ascii="宋体" w:hAnsi="宋体" w:cs="宋体"/>
          <w:sz w:val="24"/>
        </w:rPr>
        <w:t>且有权</w:t>
      </w:r>
      <w:r>
        <w:rPr>
          <w:rFonts w:hint="eastAsia" w:ascii="宋体" w:hAnsi="宋体" w:cs="宋体"/>
          <w:sz w:val="24"/>
          <w:lang w:val="en-US" w:eastAsia="zh-CN"/>
        </w:rPr>
        <w:t>另行</w:t>
      </w:r>
      <w:r>
        <w:rPr>
          <w:rFonts w:hint="eastAsia" w:ascii="宋体" w:hAnsi="宋体" w:cs="宋体"/>
          <w:sz w:val="24"/>
        </w:rPr>
        <w:t>要求乙方按本合同总价的10%支付违约金。</w:t>
      </w:r>
    </w:p>
    <w:p>
      <w:pPr>
        <w:spacing w:line="360" w:lineRule="auto"/>
        <w:ind w:firstLine="480" w:firstLineChars="200"/>
        <w:rPr>
          <w:rFonts w:ascii="宋体" w:hAnsi="宋体" w:cs="宋体"/>
          <w:kern w:val="0"/>
          <w:sz w:val="24"/>
        </w:rPr>
      </w:pPr>
      <w:r>
        <w:rPr>
          <w:rFonts w:hint="eastAsia" w:ascii="宋体" w:hAnsi="宋体" w:cs="宋体"/>
          <w:kern w:val="0"/>
          <w:sz w:val="24"/>
        </w:rPr>
        <w:t>3、未经甲方书面同意，乙方不得将本合同转包或分包，否则，甲方有权单方解除合同，乙方须</w:t>
      </w:r>
      <w:r>
        <w:rPr>
          <w:rFonts w:hint="eastAsia" w:ascii="宋体" w:hAnsi="宋体" w:cs="宋体"/>
          <w:kern w:val="0"/>
          <w:sz w:val="24"/>
          <w:lang w:val="en-US" w:eastAsia="zh-CN"/>
        </w:rPr>
        <w:t>退还甲方已付的全部费用，并</w:t>
      </w:r>
      <w:r>
        <w:rPr>
          <w:rFonts w:hint="eastAsia" w:ascii="宋体" w:hAnsi="宋体" w:cs="宋体"/>
          <w:kern w:val="0"/>
          <w:sz w:val="24"/>
        </w:rPr>
        <w:t>向甲方支付相当于合同总价的5%作为违约金</w:t>
      </w:r>
      <w:r>
        <w:rPr>
          <w:rFonts w:hint="eastAsia" w:ascii="宋体" w:hAnsi="宋体" w:cs="宋体"/>
          <w:kern w:val="0"/>
          <w:sz w:val="24"/>
          <w:lang w:eastAsia="zh-CN"/>
        </w:rPr>
        <w:t>。</w:t>
      </w:r>
      <w:r>
        <w:rPr>
          <w:rFonts w:hint="eastAsia" w:ascii="宋体" w:hAnsi="宋体" w:cs="宋体"/>
          <w:kern w:val="0"/>
          <w:sz w:val="24"/>
          <w:lang w:val="en-US" w:eastAsia="zh-CN"/>
        </w:rPr>
        <w:t>前述违约金不足以弥补甲方损失的</w:t>
      </w:r>
      <w:r>
        <w:rPr>
          <w:rFonts w:hint="eastAsia" w:ascii="宋体" w:hAnsi="宋体" w:cs="宋体"/>
          <w:kern w:val="0"/>
          <w:sz w:val="24"/>
        </w:rPr>
        <w:t>，乙方还应承担全部赔偿责任。</w:t>
      </w:r>
    </w:p>
    <w:p>
      <w:pPr>
        <w:pStyle w:val="3"/>
        <w:spacing w:line="360" w:lineRule="auto"/>
        <w:ind w:firstLine="480" w:firstLineChars="200"/>
        <w:rPr>
          <w:rFonts w:ascii="宋体" w:hAnsi="宋体" w:cs="宋体"/>
          <w:sz w:val="24"/>
        </w:rPr>
      </w:pPr>
      <w:r>
        <w:rPr>
          <w:rFonts w:hint="eastAsia" w:ascii="宋体" w:hAnsi="宋体" w:cs="宋体"/>
          <w:sz w:val="24"/>
        </w:rPr>
        <w:t>4、乙方必须</w:t>
      </w:r>
      <w:r>
        <w:rPr>
          <w:rFonts w:hint="eastAsia" w:ascii="宋体" w:hAnsi="宋体" w:cs="宋体"/>
          <w:color w:val="000000" w:themeColor="text1"/>
          <w:sz w:val="24"/>
          <w14:textFill>
            <w14:solidFill>
              <w14:schemeClr w14:val="tx1"/>
            </w14:solidFill>
          </w14:textFill>
        </w:rPr>
        <w:t>积极配合</w:t>
      </w:r>
      <w:r>
        <w:rPr>
          <w:rFonts w:hint="eastAsia" w:ascii="宋体" w:hAnsi="宋体" w:cs="宋体"/>
          <w:sz w:val="24"/>
        </w:rPr>
        <w:t>甲方第三方施工，如遇与第三方责任划分不清，互相推诿，经甲方协调无果，甲方有权要求乙方支付相当于合同总价的5%作为违约金。</w:t>
      </w:r>
    </w:p>
    <w:p>
      <w:pPr>
        <w:pStyle w:val="3"/>
        <w:spacing w:line="360" w:lineRule="auto"/>
        <w:ind w:firstLine="480" w:firstLineChars="200"/>
        <w:rPr>
          <w:rFonts w:ascii="宋体" w:hAnsi="宋体" w:cs="宋体"/>
          <w:sz w:val="24"/>
        </w:rPr>
      </w:pPr>
      <w:r>
        <w:rPr>
          <w:rFonts w:hint="eastAsia" w:ascii="宋体" w:hAnsi="宋体" w:cs="宋体"/>
          <w:sz w:val="24"/>
        </w:rPr>
        <w:t>5、质保期内乙方未及时响应(48小时内)甲方的通知对产品进行维修的，甲方有权另行委托第三方进行维修，因此产生的费用由乙方承担；若造成甲方其他损失，乙方还应承担甲方因此遭受的一切损失。</w:t>
      </w:r>
    </w:p>
    <w:p>
      <w:pPr>
        <w:pStyle w:val="3"/>
        <w:spacing w:line="360" w:lineRule="auto"/>
        <w:ind w:firstLine="480" w:firstLineChars="200"/>
        <w:rPr>
          <w:rFonts w:ascii="宋体" w:hAnsi="宋体" w:cs="宋体"/>
          <w:sz w:val="24"/>
        </w:rPr>
      </w:pPr>
      <w:r>
        <w:rPr>
          <w:rFonts w:hint="eastAsia" w:ascii="宋体" w:hAnsi="宋体" w:cs="宋体"/>
          <w:sz w:val="24"/>
        </w:rPr>
        <w:t>6、乙方未经甲方书面同意擅自解除本合同的，乙方应按本合同货款总额10%向甲方支付违约金，并承担甲方因此遭受的一切损失。</w:t>
      </w:r>
    </w:p>
    <w:p>
      <w:pPr>
        <w:pStyle w:val="3"/>
        <w:spacing w:line="360" w:lineRule="auto"/>
        <w:ind w:firstLine="480" w:firstLineChars="200"/>
        <w:rPr>
          <w:rFonts w:ascii="宋体" w:hAnsi="宋体" w:cs="宋体"/>
          <w:sz w:val="24"/>
        </w:rPr>
      </w:pPr>
      <w:r>
        <w:rPr>
          <w:rFonts w:hint="eastAsia" w:ascii="宋体" w:hAnsi="宋体" w:cs="宋体"/>
          <w:sz w:val="24"/>
        </w:rPr>
        <w:t>7、乙方应保证甲方用乙方提供的产品时免受第三方提出侵犯其专利权、商标权或工业设计权等知识产权的起诉；因知识产权瑕疵或权利争议所导致的所有法律责任，均由乙方全部承担；由此给甲方造成损失的，乙方应予赔偿。</w:t>
      </w:r>
    </w:p>
    <w:p>
      <w:pPr>
        <w:pStyle w:val="3"/>
        <w:spacing w:line="360" w:lineRule="auto"/>
        <w:ind w:firstLine="480" w:firstLineChars="200"/>
        <w:rPr>
          <w:rFonts w:ascii="宋体" w:hAnsi="宋体" w:cs="宋体"/>
          <w:sz w:val="24"/>
        </w:rPr>
      </w:pPr>
      <w:r>
        <w:rPr>
          <w:rFonts w:hint="eastAsia" w:ascii="宋体" w:hAnsi="宋体" w:cs="宋体"/>
          <w:sz w:val="24"/>
        </w:rPr>
        <w:t>8、因乙方所提供的产品出现质量问题而引起纠纷，则由甲方指定具有资质的相关质检机构进行检测，由此而发生的费用由乙方负责。</w:t>
      </w:r>
    </w:p>
    <w:p>
      <w:pPr>
        <w:pStyle w:val="4"/>
        <w:spacing w:line="360" w:lineRule="auto"/>
        <w:ind w:firstLine="0"/>
      </w:pPr>
      <w:r>
        <w:rPr>
          <w:rFonts w:hint="eastAsia"/>
        </w:rPr>
        <w:t xml:space="preserve">   9、乙方违约的，还应承担甲方为维权所支出的合理费用（包含但不限于诉讼费、公告费、保全费、保全保险费、鉴定费、律师费）。</w:t>
      </w:r>
    </w:p>
    <w:p>
      <w:pPr>
        <w:spacing w:line="360" w:lineRule="auto"/>
        <w:rPr>
          <w:rFonts w:ascii="宋体" w:hAnsi="宋体" w:cs="宋体"/>
          <w:kern w:val="0"/>
          <w:sz w:val="24"/>
        </w:rPr>
      </w:pPr>
      <w:r>
        <w:rPr>
          <w:rFonts w:hint="eastAsia" w:ascii="宋体" w:hAnsi="宋体" w:cs="宋体"/>
          <w:kern w:val="0"/>
          <w:sz w:val="24"/>
        </w:rPr>
        <w:t>九、合同的变更、中止与终止</w:t>
      </w:r>
    </w:p>
    <w:p>
      <w:pPr>
        <w:pStyle w:val="2"/>
        <w:spacing w:line="360" w:lineRule="auto"/>
        <w:rPr>
          <w:rFonts w:hAnsi="宋体" w:cs="宋体"/>
          <w:kern w:val="0"/>
          <w:szCs w:val="24"/>
        </w:rPr>
      </w:pPr>
      <w:r>
        <w:rPr>
          <w:rFonts w:hint="eastAsia" w:hAnsi="宋体" w:cs="宋体"/>
          <w:snapToGrid/>
          <w:kern w:val="2"/>
          <w:szCs w:val="24"/>
        </w:rPr>
        <w:t>1、对合同条款作任何改动或偏离，增加补充条款，均须由甲、乙双方签订书面的补充合同。补充合同与本合同具有同等效力。</w:t>
      </w:r>
    </w:p>
    <w:p>
      <w:pPr>
        <w:pStyle w:val="2"/>
        <w:spacing w:line="360" w:lineRule="auto"/>
        <w:rPr>
          <w:rFonts w:hAnsi="宋体" w:cs="宋体"/>
          <w:kern w:val="0"/>
          <w:szCs w:val="24"/>
        </w:rPr>
      </w:pPr>
      <w:r>
        <w:rPr>
          <w:rFonts w:hint="eastAsia" w:hAnsi="宋体" w:cs="宋体"/>
          <w:kern w:val="0"/>
          <w:szCs w:val="24"/>
        </w:rPr>
        <w:t>2、合同在履行过程中，因采购计划调整，甲方可以要求中止履行，待计划确定后继续履行。</w:t>
      </w:r>
    </w:p>
    <w:p>
      <w:pPr>
        <w:spacing w:line="360" w:lineRule="auto"/>
        <w:rPr>
          <w:rFonts w:hint="default" w:ascii="宋体" w:hAnsi="宋体" w:eastAsia="宋体" w:cs="宋体"/>
          <w:b/>
          <w:bCs/>
          <w:kern w:val="0"/>
          <w:sz w:val="28"/>
          <w:szCs w:val="28"/>
          <w:lang w:val="en-US" w:eastAsia="zh-CN"/>
        </w:rPr>
      </w:pPr>
      <w:r>
        <w:rPr>
          <w:rFonts w:hint="eastAsia" w:ascii="宋体" w:hAnsi="宋体" w:cs="宋体"/>
          <w:b/>
          <w:bCs/>
          <w:kern w:val="0"/>
          <w:sz w:val="28"/>
          <w:szCs w:val="28"/>
          <w:lang w:val="en-US" w:eastAsia="zh-CN"/>
        </w:rPr>
        <w:t>九</w:t>
      </w:r>
      <w:r>
        <w:rPr>
          <w:rFonts w:hint="eastAsia" w:ascii="宋体" w:hAnsi="宋体" w:cs="宋体"/>
          <w:b/>
          <w:bCs/>
          <w:kern w:val="0"/>
          <w:sz w:val="28"/>
          <w:szCs w:val="28"/>
        </w:rPr>
        <w:t>、不可抗力</w:t>
      </w:r>
    </w:p>
    <w:p>
      <w:pPr>
        <w:spacing w:line="360" w:lineRule="auto"/>
        <w:ind w:firstLine="420"/>
        <w:rPr>
          <w:rFonts w:ascii="宋体" w:hAnsi="宋体" w:cs="宋体"/>
          <w:sz w:val="24"/>
        </w:rPr>
      </w:pPr>
      <w:r>
        <w:rPr>
          <w:rFonts w:hint="eastAsia" w:ascii="宋体" w:hAnsi="宋体" w:cs="宋体"/>
          <w:sz w:val="24"/>
        </w:rPr>
        <w:t>由于不可抗力的原因不能履行合同时，应在十日内向对方书面通报不能履行或不能完全履行的理由，在取得有关权威部门的证明以后，方可允许延期履行、部分履行或者不履行合同，并按照公平原则根据情况可部分或全部免予承担违约责任。遭遇不可抗力的一方因未及时通知另一方面给其造成损失的，应予赔偿。一方违约 后才发生不可抗力的，不免除违约的违约责任。</w:t>
      </w:r>
    </w:p>
    <w:p>
      <w:pPr>
        <w:pStyle w:val="2"/>
        <w:numPr>
          <w:ilvl w:val="0"/>
          <w:numId w:val="0"/>
        </w:numPr>
        <w:spacing w:line="360" w:lineRule="auto"/>
        <w:ind w:firstLine="0" w:firstLineChars="0"/>
        <w:rPr>
          <w:rFonts w:hAnsi="宋体" w:cs="宋体"/>
          <w:b/>
          <w:bCs/>
          <w:kern w:val="0"/>
          <w:sz w:val="28"/>
          <w:szCs w:val="28"/>
        </w:rPr>
      </w:pPr>
      <w:r>
        <w:rPr>
          <w:rFonts w:hint="eastAsia" w:ascii="宋体" w:hAnsi="宋体" w:eastAsia="宋体" w:cs="宋体"/>
          <w:b/>
          <w:bCs/>
          <w:snapToGrid w:val="0"/>
          <w:kern w:val="0"/>
          <w:sz w:val="28"/>
          <w:szCs w:val="28"/>
          <w:lang w:val="en-US" w:eastAsia="zh-CN" w:bidi="ar-SA"/>
        </w:rPr>
        <w:t>十、</w:t>
      </w:r>
      <w:r>
        <w:rPr>
          <w:rFonts w:hint="eastAsia" w:hAnsi="宋体" w:cs="宋体"/>
          <w:b/>
          <w:bCs/>
          <w:kern w:val="0"/>
          <w:sz w:val="28"/>
          <w:szCs w:val="28"/>
        </w:rPr>
        <w:t>通知</w:t>
      </w:r>
    </w:p>
    <w:p>
      <w:pPr>
        <w:pStyle w:val="2"/>
        <w:numPr>
          <w:ilvl w:val="0"/>
          <w:numId w:val="5"/>
        </w:numPr>
        <w:spacing w:line="360" w:lineRule="auto"/>
        <w:rPr>
          <w:rFonts w:hAnsi="宋体" w:cs="宋体"/>
          <w:kern w:val="0"/>
          <w:szCs w:val="24"/>
        </w:rPr>
      </w:pPr>
      <w:r>
        <w:rPr>
          <w:rFonts w:hint="eastAsia" w:hAnsi="宋体" w:cs="宋体"/>
          <w:kern w:val="0"/>
          <w:szCs w:val="24"/>
        </w:rPr>
        <w:t>本合同一方给另一方的通知均应采用书面形式，传真或快递送到本合同中规定的对方的地址和办理签收手续。</w:t>
      </w:r>
    </w:p>
    <w:p>
      <w:pPr>
        <w:pStyle w:val="2"/>
        <w:numPr>
          <w:ilvl w:val="0"/>
          <w:numId w:val="5"/>
        </w:numPr>
        <w:spacing w:line="360" w:lineRule="auto"/>
        <w:rPr>
          <w:rFonts w:hAnsi="宋体" w:cs="宋体"/>
          <w:kern w:val="0"/>
          <w:szCs w:val="24"/>
        </w:rPr>
      </w:pPr>
      <w:r>
        <w:rPr>
          <w:rFonts w:hint="eastAsia" w:hAnsi="宋体" w:cs="宋体"/>
          <w:kern w:val="0"/>
          <w:szCs w:val="24"/>
        </w:rPr>
        <w:t>通知以送到之日或通知书中规定的生效之日起生效，两者中以较迟之日为准。</w:t>
      </w:r>
    </w:p>
    <w:p>
      <w:pPr>
        <w:pStyle w:val="2"/>
        <w:numPr>
          <w:ilvl w:val="0"/>
          <w:numId w:val="0"/>
        </w:numPr>
        <w:spacing w:line="360" w:lineRule="auto"/>
        <w:ind w:firstLine="0" w:firstLineChars="0"/>
        <w:rPr>
          <w:rFonts w:hAnsi="宋体" w:cs="宋体"/>
          <w:b/>
          <w:bCs/>
          <w:kern w:val="0"/>
          <w:sz w:val="28"/>
          <w:szCs w:val="28"/>
        </w:rPr>
      </w:pPr>
      <w:r>
        <w:rPr>
          <w:rFonts w:hint="eastAsia" w:ascii="宋体" w:hAnsi="宋体" w:eastAsia="宋体" w:cs="宋体"/>
          <w:b/>
          <w:bCs/>
          <w:snapToGrid w:val="0"/>
          <w:kern w:val="0"/>
          <w:sz w:val="28"/>
          <w:szCs w:val="28"/>
          <w:lang w:val="en-US" w:eastAsia="zh-CN" w:bidi="ar-SA"/>
        </w:rPr>
        <w:t>十</w:t>
      </w:r>
      <w:r>
        <w:rPr>
          <w:rFonts w:hint="eastAsia" w:hAnsi="宋体" w:cs="宋体"/>
          <w:b/>
          <w:bCs/>
          <w:snapToGrid w:val="0"/>
          <w:kern w:val="0"/>
          <w:sz w:val="28"/>
          <w:szCs w:val="28"/>
          <w:lang w:val="en-US" w:eastAsia="zh-CN" w:bidi="ar-SA"/>
        </w:rPr>
        <w:t>一</w:t>
      </w:r>
      <w:r>
        <w:rPr>
          <w:rFonts w:hint="eastAsia" w:ascii="宋体" w:hAnsi="宋体" w:eastAsia="宋体" w:cs="宋体"/>
          <w:b/>
          <w:bCs/>
          <w:snapToGrid w:val="0"/>
          <w:kern w:val="0"/>
          <w:sz w:val="28"/>
          <w:szCs w:val="28"/>
          <w:lang w:val="en-US" w:eastAsia="zh-CN" w:bidi="ar-SA"/>
        </w:rPr>
        <w:t>、</w:t>
      </w:r>
      <w:r>
        <w:rPr>
          <w:rFonts w:hint="eastAsia" w:hAnsi="宋体" w:cs="宋体"/>
          <w:b/>
          <w:bCs/>
          <w:kern w:val="0"/>
          <w:sz w:val="28"/>
          <w:szCs w:val="28"/>
        </w:rPr>
        <w:t>争议解决方式</w:t>
      </w:r>
    </w:p>
    <w:p>
      <w:pPr>
        <w:spacing w:line="360" w:lineRule="auto"/>
        <w:ind w:firstLine="480" w:firstLineChars="200"/>
        <w:rPr>
          <w:rFonts w:ascii="宋体" w:hAnsi="宋体" w:cs="宋体"/>
          <w:kern w:val="0"/>
          <w:sz w:val="24"/>
        </w:rPr>
      </w:pPr>
      <w:r>
        <w:rPr>
          <w:rFonts w:hint="eastAsia" w:ascii="宋体" w:hAnsi="宋体" w:cs="宋体"/>
          <w:sz w:val="24"/>
        </w:rPr>
        <w:t>因履行本合同发生争议，双方友好协商解决，必要时签订补充协议或合同。如果协商不成，不能签订补充协议</w:t>
      </w:r>
      <w:r>
        <w:rPr>
          <w:rFonts w:hint="eastAsia" w:ascii="宋体" w:hAnsi="宋体" w:cs="宋体"/>
          <w:kern w:val="0"/>
          <w:sz w:val="24"/>
        </w:rPr>
        <w:t>或合同的，任何一方均可向甲方所在地人民法院起诉。</w:t>
      </w:r>
    </w:p>
    <w:p>
      <w:pPr>
        <w:spacing w:line="360" w:lineRule="auto"/>
        <w:rPr>
          <w:rFonts w:hint="eastAsia" w:ascii="宋体" w:hAnsi="宋体" w:eastAsia="宋体" w:cs="宋体"/>
          <w:b/>
          <w:bCs/>
          <w:snapToGrid w:val="0"/>
          <w:kern w:val="0"/>
          <w:sz w:val="28"/>
          <w:szCs w:val="28"/>
          <w:lang w:val="en-US" w:eastAsia="zh-CN" w:bidi="ar-SA"/>
        </w:rPr>
      </w:pPr>
      <w:r>
        <w:rPr>
          <w:rFonts w:hint="eastAsia" w:ascii="宋体" w:hAnsi="宋体" w:eastAsia="宋体" w:cs="宋体"/>
          <w:b/>
          <w:bCs/>
          <w:snapToGrid w:val="0"/>
          <w:kern w:val="0"/>
          <w:sz w:val="28"/>
          <w:szCs w:val="28"/>
          <w:lang w:val="en-US" w:eastAsia="zh-CN" w:bidi="ar-SA"/>
        </w:rPr>
        <w:t>十</w:t>
      </w:r>
      <w:r>
        <w:rPr>
          <w:rFonts w:hint="eastAsia" w:ascii="宋体" w:hAnsi="宋体" w:cs="宋体"/>
          <w:b/>
          <w:bCs/>
          <w:snapToGrid w:val="0"/>
          <w:kern w:val="0"/>
          <w:sz w:val="28"/>
          <w:szCs w:val="28"/>
          <w:lang w:val="en-US" w:eastAsia="zh-CN" w:bidi="ar-SA"/>
        </w:rPr>
        <w:t>二</w:t>
      </w:r>
      <w:r>
        <w:rPr>
          <w:rFonts w:hint="eastAsia" w:ascii="宋体" w:hAnsi="宋体" w:eastAsia="宋体" w:cs="宋体"/>
          <w:b/>
          <w:bCs/>
          <w:snapToGrid w:val="0"/>
          <w:kern w:val="0"/>
          <w:sz w:val="28"/>
          <w:szCs w:val="28"/>
          <w:lang w:val="en-US" w:eastAsia="zh-CN" w:bidi="ar-SA"/>
        </w:rPr>
        <w:t>、其它</w:t>
      </w:r>
    </w:p>
    <w:p>
      <w:pPr>
        <w:spacing w:line="360" w:lineRule="auto"/>
        <w:ind w:firstLine="420"/>
        <w:rPr>
          <w:rFonts w:ascii="宋体" w:hAnsi="宋体" w:cs="宋体"/>
          <w:sz w:val="24"/>
        </w:rPr>
      </w:pPr>
      <w:r>
        <w:rPr>
          <w:rFonts w:hint="eastAsia" w:ascii="宋体" w:hAnsi="宋体" w:cs="宋体"/>
          <w:sz w:val="24"/>
        </w:rPr>
        <w:t>本合同</w:t>
      </w:r>
      <w:r>
        <w:rPr>
          <w:rFonts w:hint="eastAsia" w:ascii="宋体" w:hAnsi="宋体" w:cs="宋体"/>
          <w:sz w:val="24"/>
          <w:lang w:val="en-US" w:eastAsia="zh-CN"/>
        </w:rPr>
        <w:t>由三部分组成，</w:t>
      </w:r>
      <w:r>
        <w:rPr>
          <w:rFonts w:hint="eastAsia" w:ascii="宋体" w:hAnsi="宋体" w:cs="宋体"/>
          <w:sz w:val="24"/>
        </w:rPr>
        <w:t>纸质版一式肆份，甲方执贰份，乙方执贰份，甲乙双方签字盖章后生效。</w:t>
      </w:r>
    </w:p>
    <w:p>
      <w:pPr>
        <w:pStyle w:val="2"/>
        <w:spacing w:line="360" w:lineRule="auto"/>
        <w:ind w:firstLine="0"/>
      </w:pPr>
    </w:p>
    <w:p>
      <w:pPr>
        <w:pStyle w:val="2"/>
        <w:spacing w:line="360" w:lineRule="auto"/>
        <w:ind w:firstLine="0"/>
        <w:rPr>
          <w:szCs w:val="24"/>
        </w:rPr>
      </w:pPr>
      <w:r>
        <w:rPr>
          <w:rFonts w:hint="eastAsia"/>
          <w:szCs w:val="24"/>
        </w:rPr>
        <w:t>甲方：                                                乙方：</w:t>
      </w:r>
    </w:p>
    <w:p>
      <w:pPr>
        <w:pStyle w:val="2"/>
        <w:spacing w:line="360" w:lineRule="auto"/>
        <w:ind w:firstLine="0"/>
        <w:rPr>
          <w:szCs w:val="24"/>
        </w:rPr>
      </w:pPr>
    </w:p>
    <w:p>
      <w:pPr>
        <w:pStyle w:val="2"/>
        <w:spacing w:line="360" w:lineRule="auto"/>
        <w:ind w:firstLine="0"/>
        <w:rPr>
          <w:szCs w:val="24"/>
        </w:rPr>
      </w:pPr>
      <w:r>
        <w:rPr>
          <w:rFonts w:hint="eastAsia"/>
          <w:szCs w:val="24"/>
        </w:rPr>
        <w:t>法定代表人签字：                                      法定代表人签字：</w:t>
      </w:r>
    </w:p>
    <w:p>
      <w:pPr>
        <w:pStyle w:val="2"/>
        <w:spacing w:line="360" w:lineRule="auto"/>
        <w:ind w:firstLine="0"/>
        <w:rPr>
          <w:szCs w:val="24"/>
        </w:rPr>
      </w:pPr>
    </w:p>
    <w:p>
      <w:pPr>
        <w:pStyle w:val="2"/>
        <w:spacing w:line="360" w:lineRule="auto"/>
        <w:ind w:firstLine="0"/>
        <w:rPr>
          <w:szCs w:val="24"/>
        </w:rPr>
      </w:pPr>
      <w:r>
        <w:rPr>
          <w:rFonts w:hint="eastAsia"/>
          <w:szCs w:val="24"/>
        </w:rPr>
        <w:t>日期：                                                日期：</w:t>
      </w:r>
    </w:p>
    <w:p>
      <w:pPr>
        <w:widowControl w:val="0"/>
        <w:adjustRightInd w:val="0"/>
        <w:snapToGrid w:val="0"/>
        <w:spacing w:line="360" w:lineRule="auto"/>
        <w:ind w:firstLine="480"/>
        <w:rPr>
          <w:rFonts w:ascii="宋体" w:hAnsi="宋体"/>
          <w:sz w:val="24"/>
        </w:rPr>
      </w:pPr>
    </w:p>
    <w:p>
      <w:pPr>
        <w:spacing w:line="360" w:lineRule="auto"/>
      </w:pPr>
    </w:p>
    <w:p>
      <w:pPr>
        <w:rPr>
          <w:rFonts w:ascii="微软雅黑" w:hAnsi="微软雅黑" w:eastAsia="微软雅黑" w:cs="微软雅黑"/>
          <w:color w:val="110F0F"/>
          <w:w w:val="110"/>
          <w:sz w:val="32"/>
          <w:szCs w:val="32"/>
        </w:rPr>
      </w:pPr>
      <w:r>
        <w:rPr>
          <w:rFonts w:hint="eastAsia" w:ascii="微软雅黑" w:hAnsi="微软雅黑" w:eastAsia="微软雅黑" w:cs="微软雅黑"/>
          <w:color w:val="110F0F"/>
          <w:w w:val="110"/>
          <w:sz w:val="32"/>
          <w:szCs w:val="32"/>
        </w:rPr>
        <w:br w:type="page"/>
      </w:r>
    </w:p>
    <w:p>
      <w:pPr>
        <w:numPr>
          <w:ilvl w:val="0"/>
          <w:numId w:val="6"/>
        </w:numPr>
        <w:spacing w:line="360" w:lineRule="auto"/>
        <w:jc w:val="center"/>
        <w:rPr>
          <w:rFonts w:ascii="微软雅黑" w:hAnsi="微软雅黑" w:eastAsia="微软雅黑" w:cs="微软雅黑"/>
          <w:color w:val="110F0F"/>
          <w:w w:val="110"/>
          <w:sz w:val="32"/>
          <w:szCs w:val="32"/>
        </w:rPr>
      </w:pPr>
      <w:r>
        <w:rPr>
          <w:rFonts w:hint="eastAsia" w:ascii="微软雅黑" w:hAnsi="微软雅黑" w:eastAsia="微软雅黑" w:cs="微软雅黑"/>
          <w:color w:val="110F0F"/>
          <w:w w:val="110"/>
          <w:sz w:val="32"/>
          <w:szCs w:val="32"/>
        </w:rPr>
        <w:t>安全协议</w:t>
      </w:r>
    </w:p>
    <w:p>
      <w:pPr>
        <w:numPr>
          <w:ilvl w:val="255"/>
          <w:numId w:val="0"/>
        </w:numPr>
        <w:spacing w:line="360" w:lineRule="auto"/>
        <w:jc w:val="both"/>
        <w:rPr>
          <w:rFonts w:ascii="黑体" w:hAnsi="黑体" w:eastAsia="黑体"/>
          <w:color w:val="110F0F"/>
          <w:w w:val="110"/>
          <w:sz w:val="10"/>
          <w:szCs w:val="10"/>
        </w:rPr>
      </w:pPr>
    </w:p>
    <w:p>
      <w:pPr>
        <w:widowControl w:val="0"/>
        <w:adjustRightInd w:val="0"/>
        <w:snapToGrid w:val="0"/>
        <w:spacing w:line="360" w:lineRule="auto"/>
        <w:ind w:firstLine="482"/>
        <w:jc w:val="both"/>
        <w:rPr>
          <w:rFonts w:ascii="宋体" w:hAnsi="宋体"/>
          <w:sz w:val="24"/>
        </w:rPr>
      </w:pPr>
      <w:r>
        <w:rPr>
          <w:rFonts w:hint="eastAsia" w:ascii="宋体" w:hAnsi="宋体"/>
          <w:sz w:val="24"/>
        </w:rPr>
        <w:t>为了切实做好安全生产工作，依据《中华人民共和国安全生产法》、《中华人民共和国合同法》以及国家有关安全生产管理的法律、法规、标准，按照“安全第一、预防为主、综合治理”的原则，明确甲乙双方责任，就甲乙双方在本项目中的安全生产事项，经协商一致，签订本协议。</w:t>
      </w:r>
    </w:p>
    <w:p>
      <w:pPr>
        <w:spacing w:line="360" w:lineRule="auto"/>
        <w:ind w:firstLine="480" w:firstLineChars="200"/>
        <w:jc w:val="both"/>
        <w:rPr>
          <w:rFonts w:ascii="宋体" w:hAnsi="宋体"/>
          <w:sz w:val="24"/>
        </w:rPr>
      </w:pPr>
      <w:r>
        <w:rPr>
          <w:rFonts w:hint="eastAsia" w:ascii="宋体" w:hAnsi="宋体"/>
          <w:sz w:val="24"/>
        </w:rPr>
        <w:t>第一条：项目名称：岳阳</w:t>
      </w:r>
      <w:r>
        <w:rPr>
          <w:rFonts w:ascii="宋体" w:hAnsi="宋体"/>
          <w:sz w:val="24"/>
        </w:rPr>
        <w:t>城陵矶新港</w:t>
      </w:r>
      <w:r>
        <w:rPr>
          <w:rFonts w:hint="eastAsia" w:ascii="宋体" w:hAnsi="宋体"/>
          <w:sz w:val="24"/>
        </w:rPr>
        <w:t>有限公司信息化综合故障检测系统采购项目</w:t>
      </w:r>
    </w:p>
    <w:p>
      <w:pPr>
        <w:widowControl w:val="0"/>
        <w:adjustRightInd w:val="0"/>
        <w:snapToGrid w:val="0"/>
        <w:spacing w:line="360" w:lineRule="auto"/>
        <w:ind w:firstLine="482"/>
        <w:jc w:val="both"/>
        <w:rPr>
          <w:rFonts w:ascii="宋体" w:hAnsi="宋体"/>
          <w:sz w:val="24"/>
        </w:rPr>
      </w:pPr>
      <w:r>
        <w:rPr>
          <w:rFonts w:hint="eastAsia" w:ascii="宋体" w:hAnsi="宋体"/>
          <w:sz w:val="24"/>
        </w:rPr>
        <w:t>第二条：本协议内容只涉及甲乙双方在本项目中关于安全生产的权利和责任。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第三条：甲方的权利：</w:t>
      </w:r>
    </w:p>
    <w:p>
      <w:pPr>
        <w:widowControl w:val="0"/>
        <w:adjustRightInd w:val="0"/>
        <w:snapToGrid w:val="0"/>
        <w:spacing w:line="360" w:lineRule="auto"/>
        <w:ind w:firstLine="482"/>
        <w:jc w:val="both"/>
        <w:rPr>
          <w:rFonts w:ascii="宋体" w:hAnsi="宋体"/>
          <w:sz w:val="24"/>
        </w:rPr>
      </w:pPr>
      <w:r>
        <w:rPr>
          <w:rFonts w:hint="eastAsia" w:ascii="宋体" w:hAnsi="宋体"/>
          <w:sz w:val="24"/>
        </w:rPr>
        <w:t>（一）有权要求乙方建立安全组织机构或指定专人负责作业现场安全监督检查。严格执行安全生产法律、法规、条例、标准，遵守甲方的安全生产规章制度等。</w:t>
      </w:r>
    </w:p>
    <w:p>
      <w:pPr>
        <w:widowControl w:val="0"/>
        <w:adjustRightInd w:val="0"/>
        <w:snapToGrid w:val="0"/>
        <w:spacing w:line="360" w:lineRule="auto"/>
        <w:ind w:firstLine="482"/>
        <w:jc w:val="both"/>
        <w:rPr>
          <w:rFonts w:ascii="宋体" w:hAnsi="宋体"/>
          <w:sz w:val="24"/>
        </w:rPr>
      </w:pPr>
      <w:r>
        <w:rPr>
          <w:rFonts w:hint="eastAsia" w:ascii="宋体" w:hAnsi="宋体"/>
          <w:sz w:val="24"/>
        </w:rPr>
        <w:t>（二）有权按规定对乙方安全业绩、资质进行审查，对乙方针对作业项目制定的职业健康安全、环境项目进行审查并备案。</w:t>
      </w:r>
    </w:p>
    <w:p>
      <w:pPr>
        <w:widowControl w:val="0"/>
        <w:adjustRightInd w:val="0"/>
        <w:snapToGrid w:val="0"/>
        <w:spacing w:line="360" w:lineRule="auto"/>
        <w:ind w:firstLine="482"/>
        <w:jc w:val="both"/>
        <w:rPr>
          <w:rFonts w:ascii="宋体" w:hAnsi="宋体"/>
          <w:sz w:val="24"/>
        </w:rPr>
      </w:pPr>
      <w:r>
        <w:rPr>
          <w:rFonts w:hint="eastAsia" w:ascii="宋体" w:hAnsi="宋体"/>
          <w:sz w:val="24"/>
        </w:rPr>
        <w:t>（三）有权要求乙方在项目施工过程中保护好施工区域内甲方的安全生产设施、设备和器材。</w:t>
      </w:r>
    </w:p>
    <w:p>
      <w:pPr>
        <w:widowControl w:val="0"/>
        <w:adjustRightInd w:val="0"/>
        <w:snapToGrid w:val="0"/>
        <w:spacing w:line="360" w:lineRule="auto"/>
        <w:ind w:firstLine="482"/>
        <w:jc w:val="both"/>
        <w:rPr>
          <w:rFonts w:ascii="宋体" w:hAnsi="宋体"/>
          <w:sz w:val="24"/>
        </w:rPr>
      </w:pPr>
      <w:r>
        <w:rPr>
          <w:rFonts w:hint="eastAsia" w:ascii="宋体" w:hAnsi="宋体"/>
          <w:sz w:val="24"/>
        </w:rPr>
        <w:t>（四）有权要求乙方在进入甲方现场作业前所有作业人员接受甲方的安全培训与教育。</w:t>
      </w:r>
    </w:p>
    <w:p>
      <w:pPr>
        <w:widowControl w:val="0"/>
        <w:adjustRightInd w:val="0"/>
        <w:snapToGrid w:val="0"/>
        <w:spacing w:line="360" w:lineRule="auto"/>
        <w:ind w:firstLine="482"/>
        <w:jc w:val="both"/>
        <w:rPr>
          <w:rFonts w:ascii="宋体" w:hAnsi="宋体"/>
          <w:sz w:val="24"/>
        </w:rPr>
      </w:pPr>
      <w:r>
        <w:rPr>
          <w:rFonts w:hint="eastAsia" w:ascii="宋体" w:hAnsi="宋体"/>
          <w:sz w:val="24"/>
        </w:rPr>
        <w:t>（五）有权对乙方的作业现场的安全作业情况进行监督检查，有权对乙方不符合安全生产要求的行为进行制止、纠正、处罚、停止作业、直至清退出场。</w:t>
      </w:r>
    </w:p>
    <w:p>
      <w:pPr>
        <w:widowControl w:val="0"/>
        <w:adjustRightInd w:val="0"/>
        <w:snapToGrid w:val="0"/>
        <w:spacing w:line="360" w:lineRule="auto"/>
        <w:ind w:firstLine="482"/>
        <w:jc w:val="both"/>
        <w:rPr>
          <w:rFonts w:ascii="宋体" w:hAnsi="宋体"/>
          <w:sz w:val="24"/>
        </w:rPr>
      </w:pPr>
      <w:r>
        <w:rPr>
          <w:rFonts w:hint="eastAsia" w:ascii="宋体" w:hAnsi="宋体"/>
          <w:sz w:val="24"/>
        </w:rPr>
        <w:t>（六）有权要求乙方所有作业人员必须交纳工伤保险和意外伤害保险。</w:t>
      </w:r>
    </w:p>
    <w:p>
      <w:pPr>
        <w:widowControl w:val="0"/>
        <w:adjustRightInd w:val="0"/>
        <w:snapToGrid w:val="0"/>
        <w:spacing w:line="360" w:lineRule="auto"/>
        <w:ind w:firstLine="482"/>
        <w:jc w:val="both"/>
        <w:rPr>
          <w:rFonts w:ascii="宋体" w:hAnsi="宋体"/>
          <w:sz w:val="24"/>
        </w:rPr>
      </w:pPr>
      <w:r>
        <w:rPr>
          <w:rFonts w:hint="eastAsia" w:ascii="宋体" w:hAnsi="宋体"/>
          <w:sz w:val="24"/>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widowControl w:val="0"/>
        <w:adjustRightInd w:val="0"/>
        <w:snapToGrid w:val="0"/>
        <w:spacing w:line="360" w:lineRule="auto"/>
        <w:ind w:firstLine="482"/>
        <w:jc w:val="both"/>
        <w:rPr>
          <w:rFonts w:ascii="宋体" w:hAnsi="宋体"/>
          <w:sz w:val="24"/>
        </w:rPr>
      </w:pPr>
      <w:r>
        <w:rPr>
          <w:rFonts w:hint="eastAsia" w:ascii="宋体" w:hAnsi="宋体"/>
          <w:sz w:val="24"/>
        </w:rPr>
        <w:t>第四条　甲方的责任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（一）认真贯彻落实国家有关法律、法规、标准及甲方公司安全生产规章制度。</w:t>
      </w:r>
    </w:p>
    <w:p>
      <w:pPr>
        <w:widowControl w:val="0"/>
        <w:adjustRightInd w:val="0"/>
        <w:snapToGrid w:val="0"/>
        <w:spacing w:line="360" w:lineRule="auto"/>
        <w:ind w:firstLine="482"/>
        <w:jc w:val="both"/>
        <w:rPr>
          <w:rFonts w:ascii="宋体" w:hAnsi="宋体"/>
          <w:sz w:val="24"/>
        </w:rPr>
      </w:pPr>
      <w:r>
        <w:rPr>
          <w:rFonts w:hint="eastAsia" w:ascii="宋体" w:hAnsi="宋体"/>
          <w:sz w:val="24"/>
        </w:rPr>
        <w:t>（二）向乙方明确作业区（甲方港内）的范围、危险源及安全技术交底，并要有书面记录。</w:t>
      </w:r>
    </w:p>
    <w:p>
      <w:pPr>
        <w:widowControl w:val="0"/>
        <w:adjustRightInd w:val="0"/>
        <w:snapToGrid w:val="0"/>
        <w:spacing w:line="360" w:lineRule="auto"/>
        <w:ind w:firstLine="482"/>
        <w:jc w:val="both"/>
        <w:rPr>
          <w:rFonts w:ascii="宋体" w:hAnsi="宋体"/>
          <w:sz w:val="24"/>
        </w:rPr>
      </w:pPr>
      <w:r>
        <w:rPr>
          <w:rFonts w:hint="eastAsia" w:ascii="宋体" w:hAnsi="宋体"/>
          <w:sz w:val="24"/>
        </w:rPr>
        <w:t>（三）在甲方港内为乙方提供项目合同中规定的安全作业条件。</w:t>
      </w:r>
    </w:p>
    <w:p>
      <w:pPr>
        <w:widowControl w:val="0"/>
        <w:adjustRightInd w:val="0"/>
        <w:snapToGrid w:val="0"/>
        <w:spacing w:line="360" w:lineRule="auto"/>
        <w:ind w:firstLine="482"/>
        <w:jc w:val="both"/>
        <w:rPr>
          <w:rFonts w:ascii="宋体" w:hAnsi="宋体"/>
          <w:sz w:val="24"/>
        </w:rPr>
      </w:pPr>
      <w:r>
        <w:rPr>
          <w:rFonts w:hint="eastAsia" w:ascii="宋体" w:hAnsi="宋体"/>
          <w:sz w:val="24"/>
        </w:rPr>
        <w:t>（四）在甲方港内发生事故时，积极协助抢险，防止事故扩大，并按照甲方公司有关规定进行报告。</w:t>
      </w:r>
    </w:p>
    <w:p>
      <w:pPr>
        <w:widowControl w:val="0"/>
        <w:adjustRightInd w:val="0"/>
        <w:snapToGrid w:val="0"/>
        <w:spacing w:line="360" w:lineRule="auto"/>
        <w:ind w:firstLine="482"/>
        <w:jc w:val="both"/>
        <w:rPr>
          <w:rFonts w:ascii="宋体" w:hAnsi="宋体"/>
          <w:sz w:val="24"/>
        </w:rPr>
      </w:pPr>
      <w:r>
        <w:rPr>
          <w:rFonts w:hint="eastAsia" w:ascii="宋体" w:hAnsi="宋体"/>
          <w:sz w:val="24"/>
        </w:rPr>
        <w:t>第五条　乙方的权利</w:t>
      </w:r>
    </w:p>
    <w:p>
      <w:pPr>
        <w:widowControl w:val="0"/>
        <w:adjustRightInd w:val="0"/>
        <w:snapToGrid w:val="0"/>
        <w:spacing w:line="360" w:lineRule="auto"/>
        <w:ind w:firstLine="482"/>
        <w:jc w:val="both"/>
        <w:rPr>
          <w:rFonts w:ascii="宋体" w:hAnsi="宋体"/>
          <w:sz w:val="24"/>
        </w:rPr>
      </w:pPr>
      <w:r>
        <w:rPr>
          <w:rFonts w:hint="eastAsia" w:ascii="宋体" w:hAnsi="宋体"/>
          <w:sz w:val="24"/>
        </w:rPr>
        <w:t>（一）有权对甲方的安全工作提出合理化建议和改进意见。</w:t>
      </w:r>
    </w:p>
    <w:p>
      <w:pPr>
        <w:widowControl w:val="0"/>
        <w:adjustRightInd w:val="0"/>
        <w:snapToGrid w:val="0"/>
        <w:spacing w:line="360" w:lineRule="auto"/>
        <w:ind w:firstLine="482"/>
        <w:jc w:val="both"/>
        <w:rPr>
          <w:rFonts w:ascii="宋体" w:hAnsi="宋体"/>
          <w:sz w:val="24"/>
        </w:rPr>
      </w:pPr>
      <w:r>
        <w:rPr>
          <w:rFonts w:hint="eastAsia" w:ascii="宋体" w:hAnsi="宋体"/>
          <w:sz w:val="24"/>
        </w:rPr>
        <w:t>（二）日常作业中，若甲方违章指挥、强令乙方冒险作业，有权拒绝执行。</w:t>
      </w:r>
    </w:p>
    <w:p>
      <w:pPr>
        <w:widowControl w:val="0"/>
        <w:adjustRightInd w:val="0"/>
        <w:snapToGrid w:val="0"/>
        <w:spacing w:line="360" w:lineRule="auto"/>
        <w:ind w:firstLine="482"/>
        <w:jc w:val="both"/>
        <w:rPr>
          <w:rFonts w:ascii="宋体" w:hAnsi="宋体"/>
          <w:sz w:val="24"/>
        </w:rPr>
      </w:pPr>
      <w:r>
        <w:rPr>
          <w:rFonts w:hint="eastAsia" w:ascii="宋体" w:hAnsi="宋体"/>
          <w:sz w:val="24"/>
        </w:rPr>
        <w:t>（三）有权要求在甲方港内提供符合安全作业的工艺条件和环境。</w:t>
      </w:r>
    </w:p>
    <w:p>
      <w:pPr>
        <w:widowControl w:val="0"/>
        <w:adjustRightInd w:val="0"/>
        <w:snapToGrid w:val="0"/>
        <w:spacing w:line="360" w:lineRule="auto"/>
        <w:ind w:firstLine="482"/>
        <w:jc w:val="both"/>
        <w:rPr>
          <w:rFonts w:ascii="宋体" w:hAnsi="宋体"/>
          <w:sz w:val="24"/>
        </w:rPr>
      </w:pPr>
      <w:r>
        <w:rPr>
          <w:rFonts w:hint="eastAsia" w:ascii="宋体" w:hAnsi="宋体"/>
          <w:sz w:val="24"/>
        </w:rPr>
        <w:t>（四）发生严重危及乙方生命安全的紧急情况时，乙方有权采取必要的避险措施。</w:t>
      </w:r>
    </w:p>
    <w:p>
      <w:pPr>
        <w:widowControl w:val="0"/>
        <w:adjustRightInd w:val="0"/>
        <w:snapToGrid w:val="0"/>
        <w:spacing w:line="360" w:lineRule="auto"/>
        <w:ind w:firstLine="482"/>
        <w:jc w:val="both"/>
        <w:rPr>
          <w:rFonts w:ascii="宋体" w:hAnsi="宋体"/>
          <w:sz w:val="24"/>
        </w:rPr>
      </w:pPr>
      <w:r>
        <w:rPr>
          <w:rFonts w:hint="eastAsia" w:ascii="宋体" w:hAnsi="宋体"/>
          <w:sz w:val="24"/>
        </w:rPr>
        <w:t>第六条　乙方的责任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（一）乙方是本项目的安全生产责任主体，对本项目的安全生产工作全面负责。</w:t>
      </w:r>
    </w:p>
    <w:p>
      <w:pPr>
        <w:widowControl w:val="0"/>
        <w:adjustRightInd w:val="0"/>
        <w:snapToGrid w:val="0"/>
        <w:spacing w:line="360" w:lineRule="auto"/>
        <w:ind w:firstLine="482"/>
        <w:jc w:val="both"/>
        <w:rPr>
          <w:rFonts w:ascii="宋体" w:hAnsi="宋体"/>
          <w:sz w:val="24"/>
        </w:rPr>
      </w:pPr>
      <w:r>
        <w:rPr>
          <w:rFonts w:hint="eastAsia" w:ascii="宋体" w:hAnsi="宋体"/>
          <w:sz w:val="24"/>
        </w:rPr>
        <w:t>（二）健全安全组织机构，建立安全生产责任制，制定健全的安全生产规章制度，制定生产安全事故应急求援预案，配备必要的安全生产管理人员和劳动保护用品，严格执行甲方相关的规章制度。</w:t>
      </w:r>
    </w:p>
    <w:p>
      <w:pPr>
        <w:widowControl w:val="0"/>
        <w:adjustRightInd w:val="0"/>
        <w:snapToGrid w:val="0"/>
        <w:spacing w:line="360" w:lineRule="auto"/>
        <w:ind w:firstLine="482"/>
        <w:jc w:val="both"/>
        <w:rPr>
          <w:rFonts w:ascii="宋体" w:hAnsi="宋体"/>
          <w:sz w:val="24"/>
        </w:rPr>
      </w:pPr>
      <w:r>
        <w:rPr>
          <w:rFonts w:hint="eastAsia" w:ascii="宋体" w:hAnsi="宋体"/>
          <w:sz w:val="24"/>
        </w:rPr>
        <w:t>（三）应对作业人员进行作业前安全教育培训，使其具备相应的安全意识和安全技能；特种作业人员应具有相应的资格证书。</w:t>
      </w:r>
    </w:p>
    <w:p>
      <w:pPr>
        <w:widowControl w:val="0"/>
        <w:adjustRightInd w:val="0"/>
        <w:snapToGrid w:val="0"/>
        <w:spacing w:line="360" w:lineRule="auto"/>
        <w:ind w:firstLine="482"/>
        <w:jc w:val="both"/>
        <w:rPr>
          <w:rFonts w:ascii="宋体" w:hAnsi="宋体"/>
          <w:sz w:val="24"/>
        </w:rPr>
      </w:pPr>
      <w:r>
        <w:rPr>
          <w:rFonts w:hint="eastAsia" w:ascii="宋体" w:hAnsi="宋体"/>
          <w:sz w:val="24"/>
        </w:rPr>
        <w:t>（四）不得使用不符合国家、行业标准和甲方规定的原材料、设备、装置、防护用品、器材、安全检测仪器等。所使用的特种设备，必须经具有专业资质的检验检测机构检测。经检测不合格的，不得继续使用。</w:t>
      </w:r>
    </w:p>
    <w:p>
      <w:pPr>
        <w:widowControl w:val="0"/>
        <w:adjustRightInd w:val="0"/>
        <w:snapToGrid w:val="0"/>
        <w:spacing w:line="360" w:lineRule="auto"/>
        <w:ind w:firstLine="482"/>
        <w:jc w:val="both"/>
        <w:rPr>
          <w:rFonts w:ascii="宋体" w:hAnsi="宋体"/>
          <w:sz w:val="24"/>
        </w:rPr>
      </w:pPr>
      <w:r>
        <w:rPr>
          <w:rFonts w:hint="eastAsia" w:ascii="宋体" w:hAnsi="宋体"/>
          <w:sz w:val="24"/>
        </w:rPr>
        <w:t>（五）指定专人负责现场安全监督检查工作，认真开展安全检查，发现作业过程中人的不安全行为及事故安全隐患，应采取有效措施积极处理。</w:t>
      </w:r>
    </w:p>
    <w:p>
      <w:pPr>
        <w:widowControl w:val="0"/>
        <w:adjustRightInd w:val="0"/>
        <w:snapToGrid w:val="0"/>
        <w:spacing w:line="360" w:lineRule="auto"/>
        <w:ind w:firstLine="482"/>
        <w:jc w:val="both"/>
        <w:rPr>
          <w:rFonts w:ascii="宋体" w:hAnsi="宋体"/>
          <w:sz w:val="24"/>
        </w:rPr>
      </w:pPr>
      <w:r>
        <w:rPr>
          <w:rFonts w:hint="eastAsia" w:ascii="宋体" w:hAnsi="宋体"/>
          <w:sz w:val="24"/>
        </w:rPr>
        <w:t>（六）乙方有责任对作业区域的安全生产条件进行详细了解。</w:t>
      </w:r>
    </w:p>
    <w:p>
      <w:pPr>
        <w:widowControl w:val="0"/>
        <w:adjustRightInd w:val="0"/>
        <w:snapToGrid w:val="0"/>
        <w:spacing w:line="360" w:lineRule="auto"/>
        <w:ind w:firstLine="482"/>
        <w:jc w:val="both"/>
        <w:rPr>
          <w:rFonts w:ascii="宋体" w:hAnsi="宋体"/>
          <w:sz w:val="24"/>
        </w:rPr>
      </w:pPr>
      <w:r>
        <w:rPr>
          <w:rFonts w:hint="eastAsia" w:ascii="宋体" w:hAnsi="宋体"/>
          <w:sz w:val="24"/>
        </w:rPr>
        <w:t>（七）乙方在作业过程中有属于危及安全生产的关键作业时，应提出切实可行的方案，经甲方同意后，方可实施。</w:t>
      </w:r>
    </w:p>
    <w:p>
      <w:pPr>
        <w:widowControl w:val="0"/>
        <w:adjustRightInd w:val="0"/>
        <w:snapToGrid w:val="0"/>
        <w:spacing w:line="360" w:lineRule="auto"/>
        <w:ind w:firstLine="482"/>
        <w:jc w:val="both"/>
        <w:rPr>
          <w:rFonts w:ascii="宋体" w:hAnsi="宋体"/>
          <w:sz w:val="24"/>
        </w:rPr>
      </w:pPr>
      <w:r>
        <w:rPr>
          <w:rFonts w:hint="eastAsia" w:ascii="宋体" w:hAnsi="宋体"/>
          <w:sz w:val="24"/>
        </w:rPr>
        <w:t>（八）乙方不能将项目转包给第三方。</w:t>
      </w:r>
    </w:p>
    <w:p>
      <w:pPr>
        <w:widowControl w:val="0"/>
        <w:adjustRightInd w:val="0"/>
        <w:snapToGrid w:val="0"/>
        <w:spacing w:line="360" w:lineRule="auto"/>
        <w:ind w:firstLine="482"/>
        <w:jc w:val="both"/>
        <w:rPr>
          <w:rFonts w:ascii="宋体" w:hAnsi="宋体"/>
          <w:sz w:val="24"/>
        </w:rPr>
      </w:pPr>
      <w:r>
        <w:rPr>
          <w:rFonts w:hint="eastAsia" w:ascii="宋体" w:hAnsi="宋体"/>
          <w:sz w:val="24"/>
        </w:rPr>
        <w:t>（九）乙方在甲方港内作业期间只能在甲方规定的路线进出公司，只能在规定的区域内作业，禁止私自进入甲方其它生产区域。</w:t>
      </w:r>
    </w:p>
    <w:p>
      <w:pPr>
        <w:widowControl w:val="0"/>
        <w:adjustRightInd w:val="0"/>
        <w:snapToGrid w:val="0"/>
        <w:spacing w:line="360" w:lineRule="auto"/>
        <w:ind w:firstLine="482"/>
        <w:jc w:val="both"/>
        <w:rPr>
          <w:rFonts w:ascii="宋体" w:hAnsi="宋体"/>
          <w:sz w:val="24"/>
        </w:rPr>
      </w:pPr>
      <w:r>
        <w:rPr>
          <w:rFonts w:hint="eastAsia" w:ascii="宋体" w:hAnsi="宋体"/>
          <w:sz w:val="24"/>
        </w:rPr>
        <w:t>（十）乙方应服从甲方单位的安全管理。</w:t>
      </w:r>
    </w:p>
    <w:p>
      <w:pPr>
        <w:widowControl w:val="0"/>
        <w:adjustRightInd w:val="0"/>
        <w:snapToGrid w:val="0"/>
        <w:spacing w:line="360" w:lineRule="auto"/>
        <w:ind w:firstLine="482"/>
        <w:jc w:val="both"/>
        <w:rPr>
          <w:rFonts w:ascii="宋体" w:hAnsi="宋体"/>
          <w:sz w:val="24"/>
        </w:rPr>
      </w:pPr>
      <w:r>
        <w:rPr>
          <w:rFonts w:hint="eastAsia" w:ascii="宋体" w:hAnsi="宋体"/>
          <w:sz w:val="24"/>
        </w:rPr>
        <w:t>（十一）发生事故时，乙方应积极抢险，避免事故的进一步扩大，并按照国家相关要求报告事故。</w:t>
      </w:r>
    </w:p>
    <w:p>
      <w:pPr>
        <w:widowControl w:val="0"/>
        <w:adjustRightInd w:val="0"/>
        <w:snapToGrid w:val="0"/>
        <w:spacing w:line="360" w:lineRule="auto"/>
        <w:ind w:firstLine="482"/>
        <w:jc w:val="both"/>
        <w:rPr>
          <w:rFonts w:ascii="宋体" w:hAnsi="宋体"/>
          <w:sz w:val="24"/>
        </w:rPr>
      </w:pPr>
      <w:r>
        <w:rPr>
          <w:rFonts w:hint="eastAsia" w:ascii="宋体" w:hAnsi="宋体"/>
          <w:sz w:val="24"/>
        </w:rPr>
        <w:t>（十二）当乙方在甲方港内作业过程中发生安全责任事故时，乙方作为项目的承包单位，对发生的人身伤害、设备损坏等事故承担相应安全责任。由乙方向自己的主管上级部门及当地政府的安全生产监督管理部门、公安部门报告，并自行承担相应的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第七条</w:t>
      </w:r>
      <w:r>
        <w:rPr>
          <w:rFonts w:ascii="宋体" w:hAnsi="宋体"/>
          <w:sz w:val="24"/>
        </w:rPr>
        <w:t xml:space="preserve">  </w:t>
      </w:r>
      <w:r>
        <w:rPr>
          <w:rFonts w:hint="eastAsia" w:ascii="宋体" w:hAnsi="宋体"/>
          <w:sz w:val="24"/>
        </w:rPr>
        <w:t>违约责任及处理</w:t>
      </w:r>
    </w:p>
    <w:p>
      <w:pPr>
        <w:widowControl w:val="0"/>
        <w:adjustRightInd w:val="0"/>
        <w:snapToGrid w:val="0"/>
        <w:spacing w:line="360" w:lineRule="auto"/>
        <w:ind w:firstLine="482"/>
        <w:jc w:val="both"/>
        <w:rPr>
          <w:rFonts w:ascii="宋体" w:hAnsi="宋体"/>
          <w:sz w:val="24"/>
        </w:rPr>
      </w:pPr>
      <w:r>
        <w:rPr>
          <w:rFonts w:hint="eastAsia" w:ascii="宋体" w:hAnsi="宋体"/>
          <w:sz w:val="24"/>
        </w:rPr>
        <w:t>（一）甲乙双方违反本合同要求，未造成事故时，依据相关合同对违约者进行处理（包括但不限于支付违约金、赔偿损失等）。</w:t>
      </w:r>
    </w:p>
    <w:p>
      <w:pPr>
        <w:widowControl w:val="0"/>
        <w:adjustRightInd w:val="0"/>
        <w:snapToGrid w:val="0"/>
        <w:spacing w:line="360" w:lineRule="auto"/>
        <w:ind w:firstLine="482"/>
        <w:jc w:val="both"/>
        <w:rPr>
          <w:rFonts w:ascii="宋体" w:hAnsi="宋体"/>
          <w:sz w:val="24"/>
        </w:rPr>
      </w:pPr>
      <w:r>
        <w:rPr>
          <w:rFonts w:hint="eastAsia" w:ascii="宋体" w:hAnsi="宋体"/>
          <w:sz w:val="24"/>
        </w:rPr>
        <w:t>（二）在甲方港内发生事故时，甲、乙双方有抢险、救灾的责任，所发生的费用由责任方承担。</w:t>
      </w:r>
    </w:p>
    <w:p>
      <w:pPr>
        <w:widowControl w:val="0"/>
        <w:adjustRightInd w:val="0"/>
        <w:snapToGrid w:val="0"/>
        <w:spacing w:line="360" w:lineRule="auto"/>
        <w:ind w:firstLine="482"/>
        <w:jc w:val="both"/>
        <w:rPr>
          <w:rFonts w:ascii="宋体" w:hAnsi="宋体"/>
          <w:sz w:val="24"/>
        </w:rPr>
      </w:pPr>
      <w:r>
        <w:rPr>
          <w:rFonts w:hint="eastAsia" w:ascii="宋体" w:hAnsi="宋体"/>
          <w:sz w:val="24"/>
        </w:rPr>
        <w:t>（三）发生的事故，应经事故调查确认责任；事故报告和调查应按照国家和甲方有关规定进行。</w:t>
      </w:r>
      <w:r>
        <w:rPr>
          <w:rFonts w:ascii="宋体" w:hAnsi="宋体"/>
          <w:sz w:val="24"/>
        </w:rPr>
        <w:t xml:space="preserve">           </w:t>
      </w:r>
    </w:p>
    <w:p>
      <w:pPr>
        <w:widowControl w:val="0"/>
        <w:adjustRightInd w:val="0"/>
        <w:snapToGrid w:val="0"/>
        <w:spacing w:line="360" w:lineRule="auto"/>
        <w:ind w:firstLine="482"/>
        <w:jc w:val="both"/>
        <w:rPr>
          <w:rFonts w:ascii="宋体" w:hAnsi="宋体"/>
          <w:sz w:val="24"/>
        </w:rPr>
      </w:pPr>
      <w:r>
        <w:rPr>
          <w:rFonts w:hint="eastAsia" w:ascii="宋体" w:hAnsi="宋体"/>
          <w:sz w:val="24"/>
        </w:rPr>
        <w:t>（四）甲方违约造成的事故，甲方承担全部责任，并按规定追究有关人员责任及上报。</w:t>
      </w:r>
    </w:p>
    <w:p>
      <w:pPr>
        <w:widowControl w:val="0"/>
        <w:adjustRightInd w:val="0"/>
        <w:snapToGrid w:val="0"/>
        <w:spacing w:line="360" w:lineRule="auto"/>
        <w:ind w:firstLine="482"/>
        <w:jc w:val="both"/>
        <w:rPr>
          <w:rFonts w:ascii="宋体" w:hAnsi="宋体"/>
          <w:sz w:val="24"/>
        </w:rPr>
      </w:pPr>
      <w:r>
        <w:rPr>
          <w:rFonts w:hint="eastAsia" w:ascii="宋体" w:hAnsi="宋体"/>
          <w:sz w:val="24"/>
        </w:rPr>
        <w:t>（五）乙方违约造成的事故，乙方承担全部责任，并按规定追究有关人员责任并报告甲方。</w:t>
      </w:r>
    </w:p>
    <w:p>
      <w:pPr>
        <w:widowControl w:val="0"/>
        <w:adjustRightInd w:val="0"/>
        <w:snapToGrid w:val="0"/>
        <w:spacing w:line="360" w:lineRule="auto"/>
        <w:ind w:firstLine="482"/>
        <w:jc w:val="both"/>
        <w:rPr>
          <w:rFonts w:ascii="宋体" w:hAnsi="宋体"/>
          <w:sz w:val="24"/>
        </w:rPr>
      </w:pPr>
      <w:r>
        <w:rPr>
          <w:rFonts w:hint="eastAsia" w:ascii="宋体" w:hAnsi="宋体"/>
          <w:sz w:val="24"/>
        </w:rPr>
        <w:t>（六）甲、乙双方共同造成的事故，按双方责任大小承担相应责任，并按规定追究有关人员责任。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（七）对乙方发生事故后弄虚作假、隐瞒不报、迟报或谎报，一经查出，按有关规定从重处罚，情节严重的，甲方有权向当地政府安全生产监督管理部门报告，并取消其进入甲方市场资格。</w:t>
      </w:r>
    </w:p>
    <w:p>
      <w:pPr>
        <w:widowControl w:val="0"/>
        <w:adjustRightInd w:val="0"/>
        <w:snapToGrid w:val="0"/>
        <w:spacing w:line="360" w:lineRule="auto"/>
        <w:ind w:firstLine="482"/>
        <w:jc w:val="both"/>
        <w:rPr>
          <w:rFonts w:ascii="宋体" w:hAnsi="宋体"/>
          <w:sz w:val="24"/>
        </w:rPr>
      </w:pPr>
      <w:r>
        <w:rPr>
          <w:rFonts w:hint="eastAsia" w:ascii="宋体" w:hAnsi="宋体"/>
          <w:sz w:val="24"/>
        </w:rPr>
        <w:t>（八）作业期间，需要办理的有关安全的批文或其它手续，乙方必须办理齐全，否则发生安全事故由乙方承担全部责任。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第八条　由于不可抗力造成合同项目作业事故及生产的损失，当事人双方各自承担相应的损失。</w:t>
      </w:r>
    </w:p>
    <w:p>
      <w:pPr>
        <w:widowControl w:val="0"/>
        <w:adjustRightInd w:val="0"/>
        <w:snapToGrid w:val="0"/>
        <w:spacing w:line="360" w:lineRule="auto"/>
        <w:ind w:firstLine="482"/>
        <w:jc w:val="both"/>
        <w:rPr>
          <w:rFonts w:ascii="宋体" w:hAnsi="宋体"/>
          <w:sz w:val="24"/>
        </w:rPr>
      </w:pPr>
      <w:r>
        <w:rPr>
          <w:rFonts w:hint="eastAsia" w:ascii="宋体" w:hAnsi="宋体"/>
          <w:sz w:val="24"/>
        </w:rPr>
        <w:t>第九条　甲乙双方的作业人员和机具设备的保险，由甲乙双方依据国家相关规定或约定各自承担。</w:t>
      </w:r>
    </w:p>
    <w:p>
      <w:pPr>
        <w:widowControl w:val="0"/>
        <w:adjustRightInd w:val="0"/>
        <w:snapToGrid w:val="0"/>
        <w:spacing w:line="360" w:lineRule="auto"/>
        <w:ind w:firstLine="482"/>
        <w:jc w:val="both"/>
        <w:rPr>
          <w:rFonts w:ascii="宋体" w:hAnsi="宋体"/>
          <w:sz w:val="24"/>
        </w:rPr>
      </w:pPr>
      <w:r>
        <w:rPr>
          <w:rFonts w:hint="eastAsia" w:ascii="宋体" w:hAnsi="宋体"/>
          <w:sz w:val="24"/>
        </w:rPr>
        <w:t>第十条</w:t>
      </w:r>
      <w:r>
        <w:rPr>
          <w:rFonts w:ascii="宋体" w:hAnsi="宋体"/>
          <w:sz w:val="24"/>
        </w:rPr>
        <w:t xml:space="preserve">  本协议履行过程中发生争议纠纷，应通过友好协商方式解决，如协商不成，按双方在项目经济合同中约定的管辖地和纠纷解决的方式执行。</w:t>
      </w:r>
    </w:p>
    <w:p>
      <w:pPr>
        <w:widowControl w:val="0"/>
        <w:adjustRightInd w:val="0"/>
        <w:snapToGrid w:val="0"/>
        <w:spacing w:line="360" w:lineRule="auto"/>
        <w:ind w:firstLine="482"/>
        <w:jc w:val="both"/>
        <w:rPr>
          <w:rFonts w:ascii="宋体" w:hAnsi="宋体"/>
          <w:sz w:val="24"/>
        </w:rPr>
      </w:pPr>
      <w:r>
        <w:rPr>
          <w:rFonts w:hint="eastAsia" w:ascii="宋体" w:hAnsi="宋体"/>
          <w:sz w:val="24"/>
        </w:rPr>
        <w:t>第十一条　本协议是项目经济合同的附件，与项目经济合同具有同等法律效力。本协议与项目经济合同同时生效、终止。</w:t>
      </w:r>
    </w:p>
    <w:p>
      <w:pPr>
        <w:widowControl w:val="0"/>
        <w:adjustRightInd w:val="0"/>
        <w:snapToGrid w:val="0"/>
        <w:spacing w:line="360" w:lineRule="auto"/>
        <w:ind w:firstLine="482"/>
        <w:jc w:val="both"/>
        <w:rPr>
          <w:rFonts w:ascii="宋体" w:hAnsi="宋体"/>
          <w:sz w:val="24"/>
        </w:rPr>
      </w:pPr>
      <w:r>
        <w:rPr>
          <w:rFonts w:hint="eastAsia" w:ascii="宋体" w:hAnsi="宋体"/>
          <w:sz w:val="24"/>
        </w:rPr>
        <w:t>第十二条</w:t>
      </w:r>
      <w:r>
        <w:rPr>
          <w:rFonts w:ascii="宋体" w:hAnsi="宋体"/>
          <w:sz w:val="24"/>
        </w:rPr>
        <w:t xml:space="preserve">  乙方人员进场前安全教育培训人员；乙方作业期间指定现场安全监护人员</w:t>
      </w:r>
      <w:r>
        <w:rPr>
          <w:rFonts w:hint="eastAsia" w:ascii="宋体" w:hAnsi="宋体"/>
          <w:sz w:val="24"/>
        </w:rPr>
        <w:t>。</w:t>
      </w:r>
    </w:p>
    <w:p>
      <w:pPr>
        <w:numPr>
          <w:ilvl w:val="255"/>
          <w:numId w:val="0"/>
        </w:numPr>
        <w:spacing w:line="360" w:lineRule="auto"/>
        <w:rPr>
          <w:rFonts w:ascii="黑体" w:hAnsi="黑体" w:eastAsia="黑体"/>
          <w:color w:val="110F0F"/>
          <w:w w:val="110"/>
          <w:sz w:val="32"/>
          <w:szCs w:val="32"/>
        </w:rPr>
      </w:pPr>
      <w:r>
        <w:rPr>
          <w:rFonts w:hint="eastAsia" w:ascii="黑体" w:hAnsi="黑体" w:eastAsia="黑体"/>
          <w:color w:val="110F0F"/>
          <w:w w:val="110"/>
          <w:sz w:val="32"/>
          <w:szCs w:val="32"/>
        </w:rPr>
        <w:br w:type="page"/>
      </w:r>
    </w:p>
    <w:p>
      <w:pPr>
        <w:widowControl w:val="0"/>
        <w:numPr>
          <w:ilvl w:val="255"/>
          <w:numId w:val="0"/>
        </w:numPr>
        <w:snapToGrid w:val="0"/>
        <w:spacing w:line="360" w:lineRule="auto"/>
        <w:jc w:val="center"/>
        <w:outlineLvl w:val="2"/>
        <w:rPr>
          <w:rFonts w:ascii="微软雅黑" w:hAnsi="微软雅黑" w:eastAsia="微软雅黑" w:cs="微软雅黑"/>
          <w:color w:val="110F0F"/>
          <w:w w:val="110"/>
          <w:sz w:val="32"/>
          <w:szCs w:val="32"/>
        </w:rPr>
      </w:pPr>
      <w:r>
        <w:rPr>
          <w:rFonts w:hint="eastAsia" w:ascii="微软雅黑" w:hAnsi="微软雅黑" w:eastAsia="微软雅黑" w:cs="微软雅黑"/>
          <w:color w:val="110F0F"/>
          <w:w w:val="110"/>
          <w:sz w:val="32"/>
          <w:szCs w:val="32"/>
        </w:rPr>
        <w:t>第三部分 廉政协议</w:t>
      </w:r>
    </w:p>
    <w:p>
      <w:pPr>
        <w:widowControl w:val="0"/>
        <w:numPr>
          <w:ilvl w:val="255"/>
          <w:numId w:val="0"/>
        </w:numPr>
        <w:snapToGrid w:val="0"/>
        <w:spacing w:line="360" w:lineRule="auto"/>
        <w:rPr>
          <w:rFonts w:ascii="黑体" w:hAnsi="黑体" w:eastAsia="黑体"/>
          <w:color w:val="110F0F"/>
          <w:w w:val="110"/>
          <w:sz w:val="4"/>
          <w:szCs w:val="4"/>
        </w:rPr>
      </w:pPr>
    </w:p>
    <w:p>
      <w:pPr>
        <w:widowControl w:val="0"/>
        <w:adjustRightInd w:val="0"/>
        <w:snapToGrid w:val="0"/>
        <w:spacing w:line="360" w:lineRule="auto"/>
        <w:ind w:firstLine="482"/>
        <w:jc w:val="both"/>
        <w:rPr>
          <w:rFonts w:ascii="宋体" w:hAnsi="宋体"/>
          <w:sz w:val="24"/>
        </w:rPr>
      </w:pPr>
      <w:r>
        <w:rPr>
          <w:rFonts w:hint="eastAsia" w:ascii="宋体" w:hAnsi="宋体"/>
          <w:sz w:val="24"/>
        </w:rPr>
        <w:t>根据政府采购相关规定以及有关工程建设、廉政建设的规定，为做好工程建设中的党风廉政建设，保证工程建设高效优质、建设资金的安全和投资效益，以及双方合作的公平和公正，预防甲方利益受到双方经济合同之外各种不正当行为的损害，甲、乙双方经过共同协商，签订本廉政协议，以资共同遵守。</w:t>
      </w:r>
    </w:p>
    <w:p>
      <w:pPr>
        <w:widowControl w:val="0"/>
        <w:adjustRightInd w:val="0"/>
        <w:snapToGrid w:val="0"/>
        <w:spacing w:line="360" w:lineRule="auto"/>
        <w:ind w:firstLine="482"/>
        <w:jc w:val="both"/>
        <w:rPr>
          <w:rFonts w:ascii="宋体" w:hAnsi="宋体"/>
          <w:sz w:val="24"/>
        </w:rPr>
      </w:pPr>
      <w:bookmarkStart w:id="17" w:name="_Toc282076315"/>
      <w:bookmarkStart w:id="18" w:name="_Toc30686"/>
      <w:bookmarkStart w:id="19" w:name="_Toc21390"/>
      <w:r>
        <w:rPr>
          <w:rFonts w:hint="eastAsia" w:ascii="宋体" w:hAnsi="宋体"/>
          <w:sz w:val="24"/>
        </w:rPr>
        <w:t>第一条  甲乙双方的责任</w:t>
      </w:r>
      <w:bookmarkEnd w:id="17"/>
      <w:bookmarkEnd w:id="18"/>
      <w:bookmarkEnd w:id="19"/>
    </w:p>
    <w:p>
      <w:pPr>
        <w:widowControl w:val="0"/>
        <w:adjustRightInd w:val="0"/>
        <w:snapToGrid w:val="0"/>
        <w:spacing w:line="360" w:lineRule="auto"/>
        <w:ind w:firstLine="482"/>
        <w:jc w:val="both"/>
        <w:rPr>
          <w:rFonts w:ascii="宋体" w:hAnsi="宋体"/>
          <w:sz w:val="24"/>
        </w:rPr>
      </w:pPr>
      <w:r>
        <w:rPr>
          <w:rFonts w:hint="eastAsia" w:ascii="宋体" w:hAnsi="宋体"/>
          <w:sz w:val="24"/>
        </w:rPr>
        <w:t>（一）应严格遵守国家关于市场准入、项目招标投标、工程建设和市场活动等有关法律、法规，相关政策，以及廉政建设的各项规定。</w:t>
      </w:r>
    </w:p>
    <w:p>
      <w:pPr>
        <w:widowControl w:val="0"/>
        <w:adjustRightInd w:val="0"/>
        <w:snapToGrid w:val="0"/>
        <w:spacing w:line="360" w:lineRule="auto"/>
        <w:ind w:firstLine="482"/>
        <w:jc w:val="both"/>
        <w:rPr>
          <w:rFonts w:ascii="宋体" w:hAnsi="宋体"/>
          <w:sz w:val="24"/>
        </w:rPr>
      </w:pPr>
      <w:r>
        <w:rPr>
          <w:rFonts w:hint="eastAsia" w:ascii="宋体" w:hAnsi="宋体"/>
          <w:sz w:val="24"/>
        </w:rPr>
        <w:t>（二）严格执行建设工程项目相关合同文件，自觉按合同办事。</w:t>
      </w:r>
    </w:p>
    <w:p>
      <w:pPr>
        <w:widowControl w:val="0"/>
        <w:adjustRightInd w:val="0"/>
        <w:snapToGrid w:val="0"/>
        <w:spacing w:line="360" w:lineRule="auto"/>
        <w:ind w:firstLine="482"/>
        <w:jc w:val="both"/>
        <w:rPr>
          <w:rFonts w:ascii="宋体" w:hAnsi="宋体"/>
          <w:sz w:val="24"/>
        </w:rPr>
      </w:pPr>
      <w:r>
        <w:rPr>
          <w:rFonts w:hint="eastAsia" w:ascii="宋体" w:hAnsi="宋体"/>
          <w:sz w:val="24"/>
        </w:rPr>
        <w:t>（三）业务活动必须坚持公开、公平、公正、诚信、透明的原则，不得为获取不正当的利益，损害国家、集体和对方利益。</w:t>
      </w:r>
    </w:p>
    <w:p>
      <w:pPr>
        <w:widowControl w:val="0"/>
        <w:adjustRightInd w:val="0"/>
        <w:snapToGrid w:val="0"/>
        <w:spacing w:line="360" w:lineRule="auto"/>
        <w:ind w:firstLine="482"/>
        <w:jc w:val="both"/>
        <w:rPr>
          <w:rFonts w:ascii="宋体" w:hAnsi="宋体"/>
          <w:sz w:val="24"/>
        </w:rPr>
      </w:pPr>
      <w:r>
        <w:rPr>
          <w:rFonts w:hint="eastAsia" w:ascii="宋体" w:hAnsi="宋体"/>
          <w:sz w:val="24"/>
        </w:rPr>
        <w:t>（四）发现对方在业务活动中有违规、违纪、违法行为的，应及时提醒对方，情节严重的，应向其上级主管部门或纪检监察部门进行举报。</w:t>
      </w:r>
    </w:p>
    <w:p>
      <w:pPr>
        <w:widowControl w:val="0"/>
        <w:adjustRightInd w:val="0"/>
        <w:snapToGrid w:val="0"/>
        <w:spacing w:line="360" w:lineRule="auto"/>
        <w:ind w:firstLine="482"/>
        <w:jc w:val="both"/>
        <w:rPr>
          <w:rFonts w:ascii="宋体" w:hAnsi="宋体"/>
          <w:sz w:val="24"/>
        </w:rPr>
      </w:pPr>
      <w:bookmarkStart w:id="20" w:name="_Toc22406"/>
      <w:bookmarkStart w:id="21" w:name="_Toc282076316"/>
      <w:bookmarkStart w:id="22" w:name="_Toc25742"/>
      <w:r>
        <w:rPr>
          <w:rFonts w:hint="eastAsia" w:ascii="宋体" w:hAnsi="宋体"/>
          <w:sz w:val="24"/>
        </w:rPr>
        <w:t>第二条  甲方的责任</w:t>
      </w:r>
      <w:bookmarkEnd w:id="20"/>
      <w:bookmarkEnd w:id="21"/>
      <w:bookmarkEnd w:id="22"/>
    </w:p>
    <w:p>
      <w:pPr>
        <w:widowControl w:val="0"/>
        <w:adjustRightInd w:val="0"/>
        <w:snapToGrid w:val="0"/>
        <w:spacing w:line="360" w:lineRule="auto"/>
        <w:ind w:firstLine="482"/>
        <w:jc w:val="both"/>
        <w:rPr>
          <w:rFonts w:ascii="宋体" w:hAnsi="宋体"/>
          <w:sz w:val="24"/>
        </w:rPr>
      </w:pPr>
      <w:r>
        <w:rPr>
          <w:rFonts w:hint="eastAsia" w:ascii="宋体" w:hAnsi="宋体"/>
          <w:sz w:val="24"/>
        </w:rPr>
        <w:t>甲方工作人员，在工程建设的事前、事中、事后应遵守以下规定：</w:t>
      </w:r>
    </w:p>
    <w:p>
      <w:pPr>
        <w:widowControl w:val="0"/>
        <w:adjustRightInd w:val="0"/>
        <w:snapToGrid w:val="0"/>
        <w:spacing w:line="360" w:lineRule="auto"/>
        <w:ind w:firstLine="482"/>
        <w:jc w:val="both"/>
        <w:rPr>
          <w:rFonts w:ascii="宋体" w:hAnsi="宋体"/>
          <w:sz w:val="24"/>
        </w:rPr>
      </w:pPr>
      <w:r>
        <w:rPr>
          <w:rFonts w:hint="eastAsia" w:ascii="宋体" w:hAnsi="宋体"/>
          <w:sz w:val="24"/>
        </w:rPr>
        <w:t>（一）不得向乙方索要或接受回扣、礼金、有价证券、贵重物品和好处费、感谢费等。</w:t>
      </w:r>
    </w:p>
    <w:p>
      <w:pPr>
        <w:widowControl w:val="0"/>
        <w:adjustRightInd w:val="0"/>
        <w:snapToGrid w:val="0"/>
        <w:spacing w:line="360" w:lineRule="auto"/>
        <w:ind w:firstLine="482"/>
        <w:jc w:val="both"/>
        <w:rPr>
          <w:rFonts w:ascii="宋体" w:hAnsi="宋体"/>
          <w:sz w:val="24"/>
        </w:rPr>
      </w:pPr>
      <w:r>
        <w:rPr>
          <w:rFonts w:hint="eastAsia" w:ascii="宋体" w:hAnsi="宋体"/>
          <w:sz w:val="24"/>
        </w:rPr>
        <w:t>（二）不得在乙方报销任何应由个人支付的费用。</w:t>
      </w:r>
    </w:p>
    <w:p>
      <w:pPr>
        <w:widowControl w:val="0"/>
        <w:adjustRightInd w:val="0"/>
        <w:snapToGrid w:val="0"/>
        <w:spacing w:line="360" w:lineRule="auto"/>
        <w:ind w:firstLine="482"/>
        <w:jc w:val="both"/>
        <w:rPr>
          <w:rFonts w:ascii="宋体" w:hAnsi="宋体"/>
          <w:sz w:val="24"/>
        </w:rPr>
      </w:pPr>
      <w:r>
        <w:rPr>
          <w:rFonts w:hint="eastAsia" w:ascii="宋体" w:hAnsi="宋体"/>
          <w:sz w:val="24"/>
        </w:rPr>
        <w:t>（三）不得要求或接受乙方为其个人装修住房或为其配偶、子女的工作安排以及出国（境）、旅游等提供方便。</w:t>
      </w:r>
    </w:p>
    <w:p>
      <w:pPr>
        <w:widowControl w:val="0"/>
        <w:adjustRightInd w:val="0"/>
        <w:snapToGrid w:val="0"/>
        <w:spacing w:line="360" w:lineRule="auto"/>
        <w:ind w:firstLine="482"/>
        <w:jc w:val="both"/>
        <w:rPr>
          <w:rFonts w:ascii="宋体" w:hAnsi="宋体"/>
          <w:sz w:val="24"/>
        </w:rPr>
      </w:pPr>
      <w:r>
        <w:rPr>
          <w:rFonts w:hint="eastAsia" w:ascii="宋体" w:hAnsi="宋体"/>
          <w:sz w:val="24"/>
        </w:rPr>
        <w:t>（四）不得参加有可能影响公正执行公务的乙方的宴请、健身和娱乐等活动。</w:t>
      </w:r>
    </w:p>
    <w:p>
      <w:pPr>
        <w:widowControl w:val="0"/>
        <w:adjustRightInd w:val="0"/>
        <w:snapToGrid w:val="0"/>
        <w:spacing w:line="360" w:lineRule="auto"/>
        <w:ind w:firstLine="482"/>
        <w:jc w:val="both"/>
        <w:rPr>
          <w:rFonts w:ascii="宋体" w:hAnsi="宋体"/>
          <w:sz w:val="24"/>
        </w:rPr>
      </w:pPr>
      <w:r>
        <w:rPr>
          <w:rFonts w:hint="eastAsia" w:ascii="宋体" w:hAnsi="宋体"/>
          <w:sz w:val="24"/>
        </w:rPr>
        <w:t>（五）不得向乙方介绍或推荐其配偶、子女及其他亲属参与乙方同甲方建设项目有关的经济活动。</w:t>
      </w:r>
    </w:p>
    <w:p>
      <w:pPr>
        <w:widowControl w:val="0"/>
        <w:adjustRightInd w:val="0"/>
        <w:snapToGrid w:val="0"/>
        <w:spacing w:line="360" w:lineRule="auto"/>
        <w:ind w:firstLine="482"/>
        <w:jc w:val="both"/>
        <w:rPr>
          <w:rFonts w:ascii="宋体" w:hAnsi="宋体"/>
          <w:sz w:val="24"/>
        </w:rPr>
      </w:pPr>
      <w:r>
        <w:rPr>
          <w:rFonts w:hint="eastAsia" w:ascii="宋体" w:hAnsi="宋体"/>
          <w:sz w:val="24"/>
        </w:rPr>
        <w:t>（六）不得以任何理由向乙方推荐分包单位或要求乙方购买项目合同规定以外的材料、设备和服务等。</w:t>
      </w:r>
    </w:p>
    <w:p>
      <w:pPr>
        <w:widowControl w:val="0"/>
        <w:adjustRightInd w:val="0"/>
        <w:snapToGrid w:val="0"/>
        <w:spacing w:line="360" w:lineRule="auto"/>
        <w:ind w:firstLine="482"/>
        <w:jc w:val="both"/>
        <w:rPr>
          <w:rFonts w:ascii="宋体" w:hAnsi="宋体"/>
          <w:sz w:val="24"/>
        </w:rPr>
      </w:pPr>
      <w:r>
        <w:rPr>
          <w:rFonts w:hint="eastAsia" w:ascii="宋体" w:hAnsi="宋体"/>
          <w:sz w:val="24"/>
        </w:rPr>
        <w:t>（七）其它与项目有关的党风廉政建设和预防腐败的规定。</w:t>
      </w:r>
    </w:p>
    <w:p>
      <w:pPr>
        <w:widowControl w:val="0"/>
        <w:adjustRightInd w:val="0"/>
        <w:snapToGrid w:val="0"/>
        <w:spacing w:line="360" w:lineRule="auto"/>
        <w:ind w:firstLine="482"/>
        <w:jc w:val="both"/>
        <w:rPr>
          <w:rFonts w:ascii="宋体" w:hAnsi="宋体"/>
          <w:sz w:val="24"/>
        </w:rPr>
      </w:pPr>
      <w:bookmarkStart w:id="23" w:name="_Toc14483"/>
      <w:bookmarkStart w:id="24" w:name="_Toc282076317"/>
      <w:bookmarkStart w:id="25" w:name="_Toc11848"/>
      <w:r>
        <w:rPr>
          <w:rFonts w:hint="eastAsia" w:ascii="宋体" w:hAnsi="宋体"/>
          <w:sz w:val="24"/>
        </w:rPr>
        <w:t>第三条  乙方的责任</w:t>
      </w:r>
      <w:bookmarkEnd w:id="23"/>
      <w:bookmarkEnd w:id="24"/>
      <w:bookmarkEnd w:id="25"/>
    </w:p>
    <w:p>
      <w:pPr>
        <w:widowControl w:val="0"/>
        <w:adjustRightInd w:val="0"/>
        <w:snapToGrid w:val="0"/>
        <w:spacing w:line="360" w:lineRule="auto"/>
        <w:ind w:firstLine="482"/>
        <w:jc w:val="both"/>
        <w:rPr>
          <w:rFonts w:ascii="宋体" w:hAnsi="宋体"/>
          <w:sz w:val="24"/>
        </w:rPr>
      </w:pPr>
      <w:r>
        <w:rPr>
          <w:rFonts w:hint="eastAsia" w:ascii="宋体" w:hAnsi="宋体"/>
          <w:sz w:val="24"/>
        </w:rPr>
        <w:t>应与甲方保持正常的业务交往，按照有关法律法规和程序开展业务工作，严格执行工程建设的有关方针、政策，并遵守以下规定：</w:t>
      </w:r>
    </w:p>
    <w:p>
      <w:pPr>
        <w:widowControl w:val="0"/>
        <w:adjustRightInd w:val="0"/>
        <w:snapToGrid w:val="0"/>
        <w:spacing w:line="360" w:lineRule="auto"/>
        <w:ind w:firstLine="482"/>
        <w:jc w:val="both"/>
        <w:rPr>
          <w:rFonts w:ascii="宋体" w:hAnsi="宋体"/>
          <w:sz w:val="24"/>
        </w:rPr>
      </w:pPr>
      <w:r>
        <w:rPr>
          <w:rFonts w:hint="eastAsia" w:ascii="宋体" w:hAnsi="宋体"/>
          <w:sz w:val="24"/>
        </w:rPr>
        <w:t>（一）不得以任何理由向甲方工作人员赠送礼金、有价证券、贵重物品和回扣、好处费、感谢费等。</w:t>
      </w:r>
    </w:p>
    <w:p>
      <w:pPr>
        <w:widowControl w:val="0"/>
        <w:adjustRightInd w:val="0"/>
        <w:snapToGrid w:val="0"/>
        <w:spacing w:line="360" w:lineRule="auto"/>
        <w:ind w:firstLine="482"/>
        <w:jc w:val="both"/>
        <w:rPr>
          <w:rFonts w:ascii="宋体" w:hAnsi="宋体"/>
          <w:sz w:val="24"/>
        </w:rPr>
      </w:pPr>
      <w:r>
        <w:rPr>
          <w:rFonts w:hint="eastAsia" w:ascii="宋体" w:hAnsi="宋体"/>
          <w:sz w:val="24"/>
        </w:rPr>
        <w:t>（二）不得以任何理由为甲方工作人员报销应由其个人支付的费用。</w:t>
      </w:r>
    </w:p>
    <w:p>
      <w:pPr>
        <w:widowControl w:val="0"/>
        <w:adjustRightInd w:val="0"/>
        <w:snapToGrid w:val="0"/>
        <w:spacing w:line="360" w:lineRule="auto"/>
        <w:ind w:firstLine="482"/>
        <w:jc w:val="both"/>
        <w:rPr>
          <w:rFonts w:ascii="宋体" w:hAnsi="宋体"/>
          <w:sz w:val="24"/>
        </w:rPr>
      </w:pPr>
      <w:r>
        <w:rPr>
          <w:rFonts w:hint="eastAsia" w:ascii="宋体" w:hAnsi="宋体"/>
          <w:sz w:val="24"/>
        </w:rPr>
        <w:t>（三）不得为甲方工作人员装修住房或为其配偶、子女的工作安排以及出国（境）、旅游等提供方便。</w:t>
      </w:r>
    </w:p>
    <w:p>
      <w:pPr>
        <w:widowControl w:val="0"/>
        <w:adjustRightInd w:val="0"/>
        <w:snapToGrid w:val="0"/>
        <w:spacing w:line="360" w:lineRule="auto"/>
        <w:ind w:firstLine="482"/>
        <w:jc w:val="both"/>
        <w:rPr>
          <w:rFonts w:ascii="宋体" w:hAnsi="宋体"/>
          <w:sz w:val="24"/>
        </w:rPr>
      </w:pPr>
      <w:r>
        <w:rPr>
          <w:rFonts w:hint="eastAsia" w:ascii="宋体" w:hAnsi="宋体"/>
          <w:sz w:val="24"/>
        </w:rPr>
        <w:t>（四）不得以任何理由邀请甲方工作人员参加有可能影响公正执行公务的宴请、健身、娱乐等活动。</w:t>
      </w:r>
    </w:p>
    <w:p>
      <w:pPr>
        <w:widowControl w:val="0"/>
        <w:adjustRightInd w:val="0"/>
        <w:snapToGrid w:val="0"/>
        <w:spacing w:line="360" w:lineRule="auto"/>
        <w:ind w:firstLine="482"/>
        <w:jc w:val="both"/>
        <w:rPr>
          <w:rFonts w:ascii="宋体" w:hAnsi="宋体"/>
          <w:sz w:val="24"/>
        </w:rPr>
      </w:pPr>
      <w:r>
        <w:rPr>
          <w:rFonts w:hint="eastAsia" w:ascii="宋体" w:hAnsi="宋体"/>
          <w:sz w:val="24"/>
        </w:rPr>
        <w:t>（五）其它与项目有关的党风廉政建设和预防腐败的规定。</w:t>
      </w:r>
    </w:p>
    <w:p>
      <w:pPr>
        <w:widowControl w:val="0"/>
        <w:adjustRightInd w:val="0"/>
        <w:snapToGrid w:val="0"/>
        <w:spacing w:line="360" w:lineRule="auto"/>
        <w:ind w:firstLine="482"/>
        <w:jc w:val="both"/>
        <w:rPr>
          <w:rFonts w:ascii="宋体" w:hAnsi="宋体"/>
          <w:sz w:val="24"/>
        </w:rPr>
      </w:pPr>
      <w:bookmarkStart w:id="26" w:name="OLE_LINK2"/>
      <w:bookmarkStart w:id="27" w:name="_Toc9799"/>
      <w:bookmarkStart w:id="28" w:name="_Toc32291"/>
      <w:r>
        <w:rPr>
          <w:rFonts w:hint="eastAsia" w:ascii="宋体" w:hAnsi="宋体"/>
          <w:sz w:val="24"/>
        </w:rPr>
        <w:t>第四条  违约责任</w:t>
      </w:r>
      <w:bookmarkEnd w:id="26"/>
      <w:bookmarkEnd w:id="27"/>
      <w:bookmarkEnd w:id="28"/>
    </w:p>
    <w:p>
      <w:pPr>
        <w:widowControl w:val="0"/>
        <w:adjustRightInd w:val="0"/>
        <w:snapToGrid w:val="0"/>
        <w:spacing w:line="360" w:lineRule="auto"/>
        <w:ind w:firstLine="482"/>
        <w:jc w:val="both"/>
        <w:rPr>
          <w:rFonts w:ascii="宋体" w:hAnsi="宋体"/>
          <w:sz w:val="24"/>
        </w:rPr>
      </w:pPr>
      <w:r>
        <w:rPr>
          <w:rFonts w:hint="eastAsia" w:ascii="宋体" w:hAnsi="宋体"/>
          <w:sz w:val="24"/>
        </w:rPr>
        <w:t>（一）甲方工作人员有违反本合同第一、二条行为的，经调查属实，依据有关法律法规和规定给予党纪、政纪处分或组织处理；涉嫌犯罪的，移交司法机关追究刑事责任；给乙方造成经济损失的，甲方应予以赔偿。</w:t>
      </w:r>
    </w:p>
    <w:p>
      <w:pPr>
        <w:widowControl w:val="0"/>
        <w:adjustRightInd w:val="0"/>
        <w:snapToGrid w:val="0"/>
        <w:spacing w:line="360" w:lineRule="auto"/>
        <w:ind w:firstLine="482"/>
        <w:jc w:val="both"/>
        <w:rPr>
          <w:rFonts w:ascii="宋体" w:hAnsi="宋体"/>
          <w:sz w:val="24"/>
        </w:rPr>
      </w:pPr>
      <w:r>
        <w:rPr>
          <w:rFonts w:hint="eastAsia" w:ascii="宋体" w:hAnsi="宋体"/>
          <w:sz w:val="24"/>
        </w:rPr>
        <w:t>（二）乙方工作人员有违反本合同第一、三条行为的，经调查属实，依据有关法律法规和规定给予以下相应处理；给甲方造成经济损失的，乙方应予以赔偿；情节严重的，甲方政府采购主管部门给予一至三年不得进入政府市场的处罚；涉嫌犯罪的，移交司法机关追究刑事责任。</w:t>
      </w:r>
    </w:p>
    <w:p>
      <w:pPr>
        <w:widowControl w:val="0"/>
        <w:adjustRightInd w:val="0"/>
        <w:snapToGrid w:val="0"/>
        <w:spacing w:line="360" w:lineRule="auto"/>
        <w:ind w:firstLine="482"/>
        <w:jc w:val="both"/>
        <w:rPr>
          <w:rFonts w:ascii="宋体" w:hAnsi="宋体"/>
          <w:sz w:val="24"/>
        </w:rPr>
      </w:pPr>
      <w:r>
        <w:rPr>
          <w:rFonts w:hint="eastAsia" w:ascii="宋体" w:hAnsi="宋体"/>
          <w:sz w:val="24"/>
        </w:rPr>
        <w:t>（三）双方约定：本合同由甲方或甲方上级单位的纪检监察机关负责监督执行。由甲方或甲方上级单位的纪检监察机关约请乙方行业主管部门的纪检监察机关对本合同执行情况进行检查，提出在本合同规定范围内的裁定意见。</w:t>
      </w:r>
    </w:p>
    <w:p>
      <w:pPr>
        <w:widowControl w:val="0"/>
        <w:adjustRightInd w:val="0"/>
        <w:snapToGrid w:val="0"/>
        <w:spacing w:line="360" w:lineRule="auto"/>
        <w:ind w:firstLine="482"/>
        <w:jc w:val="both"/>
        <w:rPr>
          <w:rFonts w:ascii="宋体" w:hAnsi="宋体"/>
          <w:sz w:val="24"/>
        </w:rPr>
      </w:pPr>
      <w:bookmarkStart w:id="29" w:name="_Toc9354"/>
      <w:bookmarkStart w:id="30" w:name="_Toc28966"/>
      <w:r>
        <w:rPr>
          <w:rFonts w:hint="eastAsia" w:ascii="宋体" w:hAnsi="宋体"/>
          <w:sz w:val="24"/>
        </w:rPr>
        <w:t>第五条　本合同作为甲、乙双方主合同的附件，与主合同具有同等法律效力。经双方签署后立即生效，项目决算审计后合同效力终止</w:t>
      </w:r>
      <w:bookmarkEnd w:id="29"/>
      <w:bookmarkEnd w:id="30"/>
      <w:r>
        <w:rPr>
          <w:rFonts w:hint="eastAsia" w:ascii="宋体" w:hAnsi="宋体"/>
          <w:sz w:val="24"/>
        </w:rPr>
        <w:t>。</w:t>
      </w:r>
    </w:p>
    <w:p>
      <w:pPr>
        <w:widowControl w:val="0"/>
        <w:adjustRightInd w:val="0"/>
        <w:snapToGrid w:val="0"/>
        <w:spacing w:line="360" w:lineRule="auto"/>
        <w:ind w:firstLine="482"/>
        <w:jc w:val="both"/>
        <w:rPr>
          <w:rFonts w:ascii="宋体" w:hAnsi="宋体"/>
          <w:sz w:val="24"/>
        </w:rPr>
      </w:pPr>
    </w:p>
    <w:p>
      <w:pPr>
        <w:pStyle w:val="2"/>
        <w:spacing w:line="360" w:lineRule="auto"/>
        <w:rPr>
          <w:rFonts w:hAnsi="宋体" w:cs="宋体"/>
          <w:szCs w:val="24"/>
        </w:rPr>
      </w:pPr>
    </w:p>
    <w:p>
      <w:pPr>
        <w:pStyle w:val="2"/>
        <w:spacing w:line="360" w:lineRule="auto"/>
        <w:rPr>
          <w:rFonts w:hAnsi="宋体" w:cs="宋体"/>
          <w:szCs w:val="24"/>
        </w:rPr>
      </w:pPr>
    </w:p>
    <w:p>
      <w:pPr>
        <w:pStyle w:val="2"/>
        <w:spacing w:line="360" w:lineRule="auto"/>
        <w:rPr>
          <w:rFonts w:hAnsi="宋体" w:cs="宋体"/>
          <w:szCs w:val="24"/>
        </w:rPr>
      </w:pPr>
    </w:p>
    <w:p>
      <w:pPr>
        <w:pStyle w:val="2"/>
        <w:spacing w:line="360" w:lineRule="auto"/>
        <w:rPr>
          <w:rFonts w:hAnsi="宋体"/>
          <w:szCs w:val="24"/>
        </w:rPr>
      </w:pPr>
    </w:p>
    <w:p>
      <w:pPr>
        <w:pStyle w:val="2"/>
        <w:spacing w:line="360" w:lineRule="auto"/>
        <w:rPr>
          <w:rFonts w:hAnsi="宋体"/>
          <w:szCs w:val="24"/>
        </w:rPr>
      </w:pPr>
    </w:p>
    <w:tbl>
      <w:tblPr>
        <w:tblStyle w:val="39"/>
        <w:tblW w:w="947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6"/>
        <w:gridCol w:w="2821"/>
        <w:gridCol w:w="1880"/>
        <w:gridCol w:w="29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46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    方</w:t>
            </w:r>
          </w:p>
        </w:tc>
        <w:tc>
          <w:tcPr>
            <w:tcW w:w="485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ind w:left="240" w:hanging="240" w:hangingChars="100"/>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单位名称：（章）</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岳阳城陵矶新港有限公司</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单位名称：（章）</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单位地址</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岳阳市城陵矶临港新区新港办公楼</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单位地址</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法定代理人</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法定代理人</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0730-8</w:t>
            </w:r>
            <w:r>
              <w:rPr>
                <w:rFonts w:ascii="宋体" w:hAnsi="宋体" w:cs="宋体"/>
                <w:color w:val="000000" w:themeColor="text1"/>
                <w:sz w:val="24"/>
                <w14:textFill>
                  <w14:solidFill>
                    <w14:schemeClr w14:val="tx1"/>
                  </w14:solidFill>
                </w14:textFill>
              </w:rPr>
              <w:t>422012</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交通银行云溪支行</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帐号</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436600720018010006451</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帐号</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税号</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91430600661668630D</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税号</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邮编</w:t>
            </w:r>
          </w:p>
        </w:tc>
        <w:tc>
          <w:tcPr>
            <w:tcW w:w="28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highlight w:val="yellow"/>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邮编</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p>
        </w:tc>
      </w:tr>
    </w:tbl>
    <w:p>
      <w:pPr>
        <w:spacing w:line="360" w:lineRule="auto"/>
        <w:rPr>
          <w:rFonts w:ascii="黑体" w:hAnsi="黑体" w:eastAsia="黑体" w:cs="仿宋"/>
          <w:b/>
          <w:color w:val="000000"/>
          <w:sz w:val="36"/>
          <w:szCs w:val="36"/>
        </w:rPr>
      </w:pPr>
      <w:r>
        <w:rPr>
          <w:rFonts w:hint="eastAsia" w:ascii="黑体" w:hAnsi="黑体" w:eastAsia="黑体" w:cs="仿宋"/>
          <w:b/>
          <w:color w:val="000000"/>
          <w:sz w:val="36"/>
          <w:szCs w:val="36"/>
        </w:rPr>
        <w:br w:type="page"/>
      </w:r>
    </w:p>
    <w:p>
      <w:pPr>
        <w:spacing w:line="360" w:lineRule="auto"/>
        <w:jc w:val="center"/>
        <w:outlineLvl w:val="0"/>
        <w:rPr>
          <w:rFonts w:ascii="黑体" w:hAnsi="黑体" w:eastAsia="黑体" w:cs="仿宋"/>
          <w:b/>
          <w:color w:val="000000"/>
          <w:sz w:val="36"/>
          <w:szCs w:val="36"/>
        </w:rPr>
      </w:pPr>
      <w:bookmarkStart w:id="31" w:name="_Toc25367"/>
      <w:r>
        <w:rPr>
          <w:rFonts w:hint="eastAsia" w:ascii="黑体" w:hAnsi="黑体" w:eastAsia="黑体" w:cs="仿宋"/>
          <w:b/>
          <w:color w:val="000000"/>
          <w:sz w:val="36"/>
          <w:szCs w:val="36"/>
        </w:rPr>
        <w:t>第五章  采购需求</w:t>
      </w:r>
      <w:bookmarkEnd w:id="31"/>
    </w:p>
    <w:p>
      <w:pPr>
        <w:adjustRightInd w:val="0"/>
        <w:snapToGrid w:val="0"/>
        <w:spacing w:line="360" w:lineRule="auto"/>
        <w:rPr>
          <w:rFonts w:ascii="宋体" w:hAnsi="宋体" w:cs="宋体"/>
          <w:sz w:val="24"/>
        </w:rPr>
      </w:pPr>
      <w:r>
        <w:rPr>
          <w:rFonts w:hint="eastAsia" w:ascii="宋体" w:hAnsi="宋体" w:cs="宋体"/>
          <w:color w:val="000000" w:themeColor="text1"/>
          <w:sz w:val="24"/>
          <w14:textFill>
            <w14:solidFill>
              <w14:schemeClr w14:val="tx1"/>
            </w14:solidFill>
          </w14:textFill>
        </w:rPr>
        <w:t>（一）采购项目名称:</w:t>
      </w:r>
      <w:r>
        <w:rPr>
          <w:rFonts w:hint="eastAsia" w:ascii="宋体" w:hAnsi="宋体" w:cs="宋体"/>
          <w:sz w:val="24"/>
        </w:rPr>
        <w:t>岳阳</w:t>
      </w:r>
      <w:r>
        <w:rPr>
          <w:rFonts w:ascii="宋体" w:hAnsi="宋体" w:cs="宋体"/>
          <w:sz w:val="24"/>
        </w:rPr>
        <w:t>城陵矶新港有限</w:t>
      </w:r>
      <w:r>
        <w:rPr>
          <w:rFonts w:hint="eastAsia" w:ascii="宋体" w:hAnsi="宋体" w:cs="宋体"/>
          <w:sz w:val="24"/>
        </w:rPr>
        <w:t>公司</w:t>
      </w:r>
      <w:r>
        <w:rPr>
          <w:rFonts w:hint="eastAsia" w:ascii="宋体" w:hAnsi="宋体"/>
          <w:sz w:val="24"/>
          <w:lang w:eastAsia="zh-Hans"/>
        </w:rPr>
        <w:t>信息化综合故障检测系统</w:t>
      </w:r>
      <w:r>
        <w:rPr>
          <w:rFonts w:hint="eastAsia" w:ascii="宋体" w:hAnsi="宋体" w:cs="宋体"/>
          <w:sz w:val="24"/>
        </w:rPr>
        <w:t>采购项目</w:t>
      </w:r>
    </w:p>
    <w:p>
      <w:pPr>
        <w:autoSpaceDE w:val="0"/>
        <w:spacing w:line="360" w:lineRule="auto"/>
        <w:jc w:val="both"/>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sz w:val="24"/>
        </w:rPr>
        <w:t>（二）项目内容：</w:t>
      </w:r>
      <w:r>
        <w:rPr>
          <w:rFonts w:hint="eastAsia" w:ascii="宋体" w:hAnsi="宋体"/>
          <w:sz w:val="24"/>
        </w:rPr>
        <w:t>信息化综合故障检测系统一套</w:t>
      </w:r>
      <w:r>
        <w:rPr>
          <w:rFonts w:ascii="宋体" w:hAnsi="宋体"/>
          <w:sz w:val="24"/>
          <w:lang w:eastAsia="zh-Hans"/>
        </w:rPr>
        <w:t>，</w:t>
      </w:r>
      <w:r>
        <w:rPr>
          <w:rFonts w:hint="eastAsia" w:ascii="宋体" w:hAnsi="宋体"/>
          <w:sz w:val="24"/>
          <w:lang w:eastAsia="zh-Hans"/>
        </w:rPr>
        <w:t>包含</w:t>
      </w:r>
      <w:r>
        <w:rPr>
          <w:rFonts w:ascii="宋体" w:hAnsi="宋体"/>
          <w:sz w:val="24"/>
          <w:lang w:eastAsia="zh-Hans"/>
        </w:rPr>
        <w:t>：</w:t>
      </w:r>
      <w:r>
        <w:rPr>
          <w:rFonts w:hint="eastAsia" w:ascii="宋体" w:hAnsi="宋体"/>
          <w:b/>
          <w:bCs/>
          <w:sz w:val="24"/>
        </w:rPr>
        <w:t>港口信息化综合故障检测中心平台、</w:t>
      </w:r>
      <w:r>
        <w:rPr>
          <w:rFonts w:hint="eastAsia" w:ascii="宋体" w:hAnsi="宋体"/>
          <w:b/>
          <w:bCs/>
          <w:sz w:val="24"/>
          <w:lang w:eastAsia="zh-Hans"/>
        </w:rPr>
        <w:t>全链路可观测追踪分析系统</w:t>
      </w:r>
      <w:r>
        <w:rPr>
          <w:rFonts w:ascii="宋体" w:hAnsi="宋体"/>
          <w:b/>
          <w:bCs/>
          <w:sz w:val="24"/>
          <w:lang w:eastAsia="zh-Hans"/>
        </w:rPr>
        <w:t>、</w:t>
      </w:r>
      <w:r>
        <w:rPr>
          <w:rFonts w:hint="eastAsia" w:ascii="宋体" w:hAnsi="宋体"/>
          <w:b/>
          <w:bCs/>
          <w:sz w:val="24"/>
          <w:lang w:eastAsia="zh-Hans"/>
        </w:rPr>
        <w:t>智能故障排查系统</w:t>
      </w:r>
      <w:r>
        <w:rPr>
          <w:rFonts w:ascii="宋体" w:hAnsi="宋体"/>
          <w:b/>
          <w:bCs/>
          <w:sz w:val="24"/>
          <w:lang w:eastAsia="zh-Hans"/>
        </w:rPr>
        <w:t>、</w:t>
      </w:r>
      <w:r>
        <w:rPr>
          <w:rFonts w:hint="eastAsia" w:ascii="宋体" w:hAnsi="宋体"/>
          <w:b/>
          <w:bCs/>
          <w:sz w:val="24"/>
          <w:lang w:eastAsia="zh-Hans"/>
        </w:rPr>
        <w:t>数据中台</w:t>
      </w:r>
      <w:r>
        <w:rPr>
          <w:rFonts w:ascii="宋体" w:hAnsi="宋体"/>
          <w:b/>
          <w:bCs/>
          <w:sz w:val="24"/>
          <w:lang w:eastAsia="zh-Hans"/>
        </w:rPr>
        <w:t>、</w:t>
      </w:r>
      <w:r>
        <w:rPr>
          <w:rFonts w:hint="eastAsia" w:ascii="宋体" w:hAnsi="宋体"/>
          <w:b/>
          <w:bCs/>
          <w:sz w:val="24"/>
          <w:lang w:eastAsia="zh-Hans"/>
        </w:rPr>
        <w:t>智能告警系统</w:t>
      </w:r>
      <w:r>
        <w:rPr>
          <w:rFonts w:ascii="宋体" w:hAnsi="宋体"/>
          <w:b/>
          <w:bCs/>
          <w:sz w:val="24"/>
          <w:lang w:eastAsia="zh-Hans"/>
        </w:rPr>
        <w:t>、</w:t>
      </w:r>
      <w:r>
        <w:rPr>
          <w:rFonts w:hint="eastAsia" w:ascii="宋体" w:hAnsi="宋体"/>
          <w:b/>
          <w:bCs/>
          <w:sz w:val="24"/>
          <w:lang w:eastAsia="zh-Hans"/>
        </w:rPr>
        <w:t>业务可观测系统</w:t>
      </w:r>
      <w:r>
        <w:rPr>
          <w:rFonts w:ascii="宋体" w:hAnsi="宋体"/>
          <w:b/>
          <w:bCs/>
          <w:sz w:val="24"/>
          <w:lang w:eastAsia="zh-Hans"/>
        </w:rPr>
        <w:t>、</w:t>
      </w:r>
      <w:r>
        <w:rPr>
          <w:rFonts w:hint="eastAsia" w:ascii="宋体" w:hAnsi="宋体"/>
          <w:b/>
          <w:bCs/>
          <w:sz w:val="24"/>
        </w:rPr>
        <w:t>港口信息化综合故障检测系统软件定制开发及专用</w:t>
      </w:r>
      <w:r>
        <w:rPr>
          <w:rFonts w:hint="eastAsia" w:ascii="宋体" w:hAnsi="宋体"/>
          <w:b/>
          <w:bCs/>
          <w:sz w:val="24"/>
          <w:lang w:eastAsia="zh-Hans"/>
        </w:rPr>
        <w:t>服务器</w:t>
      </w:r>
      <w:r>
        <w:rPr>
          <w:rFonts w:hint="eastAsia" w:ascii="宋体" w:hAnsi="宋体"/>
          <w:sz w:val="24"/>
        </w:rPr>
        <w:t>。本次采购含新</w:t>
      </w:r>
      <w:r>
        <w:rPr>
          <w:rFonts w:hint="eastAsia" w:ascii="宋体" w:hAnsi="宋体"/>
          <w:b/>
          <w:bCs/>
          <w:sz w:val="24"/>
        </w:rPr>
        <w:t>设备采购及后期安装调试、培训服务</w:t>
      </w:r>
      <w:r>
        <w:rPr>
          <w:rFonts w:hint="eastAsia" w:ascii="宋体" w:hAnsi="宋体"/>
          <w:sz w:val="24"/>
        </w:rPr>
        <w:t>。</w:t>
      </w:r>
    </w:p>
    <w:p>
      <w:pPr>
        <w:spacing w:line="360" w:lineRule="auto"/>
      </w:pPr>
      <w:r>
        <w:rPr>
          <w:rFonts w:hint="eastAsia" w:ascii="宋体" w:hAnsi="宋体" w:cs="宋体"/>
          <w:color w:val="000000" w:themeColor="text1"/>
          <w:sz w:val="24"/>
          <w14:textFill>
            <w14:solidFill>
              <w14:schemeClr w14:val="tx1"/>
            </w14:solidFill>
          </w14:textFill>
        </w:rPr>
        <w:t>（三）用途的简要说明：</w:t>
      </w:r>
      <w:r>
        <w:rPr>
          <w:rFonts w:hint="eastAsia" w:ascii="宋体" w:hAnsi="宋体"/>
          <w:sz w:val="24"/>
          <w:lang w:eastAsia="zh-Hans"/>
        </w:rPr>
        <w:t>提升</w:t>
      </w:r>
      <w:r>
        <w:rPr>
          <w:rFonts w:hint="eastAsia" w:ascii="宋体" w:hAnsi="宋体"/>
          <w:sz w:val="24"/>
        </w:rPr>
        <w:t>城陵矶港口各类业务相关的</w:t>
      </w:r>
      <w:r>
        <w:rPr>
          <w:rFonts w:hint="eastAsia" w:ascii="宋体" w:hAnsi="宋体"/>
          <w:sz w:val="24"/>
          <w:lang w:eastAsia="zh-Hans"/>
        </w:rPr>
        <w:t>信息化</w:t>
      </w:r>
      <w:r>
        <w:rPr>
          <w:rFonts w:hint="eastAsia" w:ascii="宋体" w:hAnsi="宋体"/>
          <w:sz w:val="24"/>
        </w:rPr>
        <w:t>软硬件系统的</w:t>
      </w:r>
      <w:r>
        <w:rPr>
          <w:rFonts w:hint="eastAsia" w:ascii="宋体" w:hAnsi="宋体"/>
          <w:sz w:val="24"/>
          <w:lang w:eastAsia="zh-Hans"/>
        </w:rPr>
        <w:t>故障检测能力、运营运维水平，</w:t>
      </w:r>
      <w:r>
        <w:rPr>
          <w:rFonts w:hint="eastAsia" w:ascii="宋体" w:hAnsi="宋体"/>
          <w:sz w:val="24"/>
        </w:rPr>
        <w:t>提高各类业务的稳定性和连续性。</w:t>
      </w:r>
      <w:r>
        <w:rPr>
          <w:rFonts w:hint="eastAsia" w:ascii="宋体" w:hAnsi="宋体"/>
          <w:sz w:val="24"/>
          <w:lang w:eastAsia="zh-Hans"/>
        </w:rPr>
        <w:t>建设</w:t>
      </w:r>
      <w:r>
        <w:rPr>
          <w:rFonts w:hint="eastAsia" w:ascii="宋体" w:hAnsi="宋体"/>
          <w:sz w:val="24"/>
        </w:rPr>
        <w:t>港口信息化故障检测系统</w:t>
      </w:r>
      <w:r>
        <w:rPr>
          <w:rFonts w:ascii="宋体" w:hAnsi="宋体"/>
          <w:sz w:val="24"/>
          <w:lang w:eastAsia="zh-Hans"/>
        </w:rPr>
        <w:t>，</w:t>
      </w:r>
      <w:r>
        <w:rPr>
          <w:rFonts w:hint="eastAsia" w:ascii="宋体" w:hAnsi="宋体"/>
          <w:sz w:val="24"/>
          <w:lang w:eastAsia="zh-Hans"/>
        </w:rPr>
        <w:t>实现运维运营大数据中台</w:t>
      </w:r>
      <w:r>
        <w:rPr>
          <w:rFonts w:ascii="宋体" w:hAnsi="宋体"/>
          <w:sz w:val="24"/>
          <w:lang w:eastAsia="zh-Hans"/>
        </w:rPr>
        <w:t>、</w:t>
      </w:r>
      <w:r>
        <w:rPr>
          <w:rFonts w:hint="eastAsia" w:ascii="宋体" w:hAnsi="宋体"/>
          <w:sz w:val="24"/>
          <w:lang w:eastAsia="zh-Hans"/>
        </w:rPr>
        <w:t>全链路可观测</w:t>
      </w:r>
      <w:r>
        <w:rPr>
          <w:rFonts w:ascii="宋体" w:hAnsi="宋体"/>
          <w:sz w:val="24"/>
          <w:lang w:eastAsia="zh-Hans"/>
        </w:rPr>
        <w:t>、</w:t>
      </w:r>
      <w:r>
        <w:rPr>
          <w:rFonts w:hint="eastAsia" w:ascii="宋体" w:hAnsi="宋体"/>
          <w:sz w:val="24"/>
          <w:lang w:eastAsia="zh-Hans"/>
        </w:rPr>
        <w:t>智能故障排查</w:t>
      </w:r>
      <w:r>
        <w:rPr>
          <w:rFonts w:ascii="宋体" w:hAnsi="宋体"/>
          <w:sz w:val="24"/>
          <w:lang w:eastAsia="zh-Hans"/>
        </w:rPr>
        <w:t>、</w:t>
      </w:r>
      <w:r>
        <w:rPr>
          <w:rFonts w:hint="eastAsia" w:ascii="宋体" w:hAnsi="宋体"/>
          <w:sz w:val="24"/>
          <w:lang w:eastAsia="zh-Hans"/>
        </w:rPr>
        <w:t>智能告警</w:t>
      </w:r>
      <w:r>
        <w:rPr>
          <w:rFonts w:ascii="宋体" w:hAnsi="宋体"/>
          <w:sz w:val="24"/>
          <w:lang w:eastAsia="zh-Hans"/>
        </w:rPr>
        <w:t>、</w:t>
      </w:r>
      <w:r>
        <w:rPr>
          <w:rFonts w:hint="eastAsia" w:ascii="宋体" w:hAnsi="宋体"/>
          <w:sz w:val="24"/>
          <w:lang w:eastAsia="zh-Hans"/>
        </w:rPr>
        <w:t>平台自监控等功能</w:t>
      </w:r>
      <w:r>
        <w:rPr>
          <w:rFonts w:ascii="宋体" w:hAnsi="宋体"/>
          <w:sz w:val="24"/>
          <w:lang w:eastAsia="zh-Hans"/>
        </w:rPr>
        <w:t>，</w:t>
      </w:r>
      <w:r>
        <w:rPr>
          <w:rFonts w:hint="eastAsia" w:ascii="宋体" w:hAnsi="宋体"/>
          <w:sz w:val="24"/>
          <w:lang w:eastAsia="zh-Hans"/>
        </w:rPr>
        <w:t>同时实现业务可观测，增强互动能力。</w:t>
      </w:r>
      <w:r>
        <w:rPr>
          <w:rFonts w:ascii="宋体" w:hAnsi="宋体"/>
          <w:sz w:val="24"/>
          <w:lang w:eastAsia="zh-Hans"/>
        </w:rPr>
        <w:t>建成集成式一体化</w:t>
      </w:r>
      <w:r>
        <w:rPr>
          <w:rFonts w:hint="eastAsia" w:ascii="宋体" w:hAnsi="宋体"/>
          <w:sz w:val="24"/>
        </w:rPr>
        <w:t>港口</w:t>
      </w:r>
      <w:r>
        <w:rPr>
          <w:rFonts w:ascii="宋体" w:hAnsi="宋体"/>
          <w:sz w:val="24"/>
          <w:lang w:eastAsia="zh-Hans"/>
        </w:rPr>
        <w:t>数字</w:t>
      </w:r>
      <w:r>
        <w:rPr>
          <w:rFonts w:hint="eastAsia" w:ascii="宋体" w:hAnsi="宋体"/>
          <w:sz w:val="24"/>
        </w:rPr>
        <w:t>化</w:t>
      </w:r>
      <w:r>
        <w:rPr>
          <w:rFonts w:ascii="宋体" w:hAnsi="宋体"/>
          <w:sz w:val="24"/>
          <w:lang w:eastAsia="zh-Hans"/>
        </w:rPr>
        <w:t>基座服务平台，</w:t>
      </w:r>
      <w:r>
        <w:rPr>
          <w:rFonts w:hint="eastAsia" w:ascii="宋体" w:hAnsi="宋体"/>
          <w:sz w:val="24"/>
        </w:rPr>
        <w:t>保障和</w:t>
      </w:r>
      <w:r>
        <w:rPr>
          <w:rFonts w:ascii="宋体" w:hAnsi="宋体"/>
          <w:sz w:val="24"/>
          <w:lang w:eastAsia="zh-Hans"/>
        </w:rPr>
        <w:t>助力</w:t>
      </w:r>
      <w:r>
        <w:rPr>
          <w:rFonts w:hint="eastAsia" w:ascii="宋体" w:hAnsi="宋体"/>
          <w:sz w:val="24"/>
          <w:lang w:eastAsia="zh-Hans"/>
        </w:rPr>
        <w:t>岳阳城陵矶新港有限公司数字化</w:t>
      </w:r>
      <w:r>
        <w:rPr>
          <w:rFonts w:ascii="宋体" w:hAnsi="宋体"/>
          <w:sz w:val="24"/>
          <w:lang w:eastAsia="zh-Hans"/>
        </w:rPr>
        <w:t>建设。</w:t>
      </w:r>
    </w:p>
    <w:p>
      <w:pPr>
        <w:spacing w:after="120" w:afterLines="50" w:line="360" w:lineRule="auto"/>
        <w:rPr>
          <w:rFonts w:ascii="宋体" w:hAnsi="宋体" w:cs="宋体"/>
          <w:sz w:val="24"/>
        </w:rPr>
      </w:pPr>
      <w:r>
        <w:rPr>
          <w:rFonts w:hint="eastAsia" w:ascii="宋体" w:hAnsi="宋体" w:cs="宋体"/>
          <w:color w:val="000000" w:themeColor="text1"/>
          <w:sz w:val="24"/>
          <w14:textFill>
            <w14:solidFill>
              <w14:schemeClr w14:val="tx1"/>
            </w14:solidFill>
          </w14:textFill>
        </w:rPr>
        <w:t>（四）技术规格、参数与要求：</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1128"/>
        <w:gridCol w:w="703"/>
        <w:gridCol w:w="5222"/>
        <w:gridCol w:w="45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widowControl w:val="0"/>
              <w:spacing w:line="360" w:lineRule="auto"/>
              <w:jc w:val="center"/>
              <w:rPr>
                <w:rFonts w:ascii="Calibri" w:hAnsi="Calibri"/>
                <w:b/>
                <w:kern w:val="0"/>
                <w:sz w:val="24"/>
              </w:rPr>
            </w:pPr>
            <w:r>
              <w:rPr>
                <w:rFonts w:hint="eastAsia" w:ascii="Calibri" w:hAnsi="Calibri"/>
                <w:b/>
                <w:kern w:val="0"/>
                <w:sz w:val="24"/>
              </w:rPr>
              <w:t>序号</w:t>
            </w:r>
          </w:p>
        </w:tc>
        <w:tc>
          <w:tcPr>
            <w:tcW w:w="1128" w:type="dxa"/>
            <w:vAlign w:val="center"/>
          </w:tcPr>
          <w:p>
            <w:pPr>
              <w:widowControl w:val="0"/>
              <w:spacing w:line="360" w:lineRule="auto"/>
              <w:jc w:val="center"/>
              <w:rPr>
                <w:rFonts w:ascii="Calibri" w:hAnsi="Calibri"/>
                <w:b/>
                <w:kern w:val="0"/>
                <w:sz w:val="24"/>
              </w:rPr>
            </w:pPr>
            <w:r>
              <w:rPr>
                <w:rFonts w:hint="eastAsia" w:ascii="Calibri" w:hAnsi="Calibri"/>
                <w:b/>
                <w:kern w:val="0"/>
                <w:sz w:val="24"/>
              </w:rPr>
              <w:t>产品类型</w:t>
            </w:r>
          </w:p>
        </w:tc>
        <w:tc>
          <w:tcPr>
            <w:tcW w:w="703" w:type="dxa"/>
            <w:vAlign w:val="center"/>
          </w:tcPr>
          <w:p>
            <w:pPr>
              <w:widowControl w:val="0"/>
              <w:spacing w:line="360" w:lineRule="auto"/>
              <w:jc w:val="center"/>
              <w:rPr>
                <w:rFonts w:ascii="Calibri" w:hAnsi="Calibri"/>
                <w:b/>
                <w:kern w:val="0"/>
                <w:sz w:val="24"/>
                <w:lang w:eastAsia="zh-Hans"/>
              </w:rPr>
            </w:pPr>
            <w:r>
              <w:rPr>
                <w:rFonts w:hint="eastAsia" w:ascii="Calibri" w:hAnsi="Calibri"/>
                <w:b/>
                <w:kern w:val="0"/>
                <w:sz w:val="24"/>
                <w:lang w:eastAsia="zh-Hans"/>
              </w:rPr>
              <w:t>系统模块</w:t>
            </w:r>
          </w:p>
        </w:tc>
        <w:tc>
          <w:tcPr>
            <w:tcW w:w="5222" w:type="dxa"/>
            <w:vAlign w:val="center"/>
          </w:tcPr>
          <w:p>
            <w:pPr>
              <w:widowControl w:val="0"/>
              <w:spacing w:line="360" w:lineRule="auto"/>
              <w:jc w:val="center"/>
              <w:rPr>
                <w:rFonts w:ascii="Calibri" w:hAnsi="Calibri"/>
                <w:b/>
                <w:kern w:val="0"/>
                <w:sz w:val="24"/>
              </w:rPr>
            </w:pPr>
            <w:r>
              <w:rPr>
                <w:rFonts w:hint="eastAsia" w:ascii="Calibri" w:hAnsi="Calibri"/>
                <w:b/>
                <w:kern w:val="0"/>
                <w:sz w:val="24"/>
              </w:rPr>
              <w:t>参数要求</w:t>
            </w:r>
          </w:p>
        </w:tc>
        <w:tc>
          <w:tcPr>
            <w:tcW w:w="457" w:type="dxa"/>
            <w:vAlign w:val="center"/>
          </w:tcPr>
          <w:p>
            <w:pPr>
              <w:widowControl w:val="0"/>
              <w:spacing w:line="360" w:lineRule="auto"/>
              <w:jc w:val="center"/>
              <w:rPr>
                <w:rFonts w:ascii="Calibri" w:hAnsi="Calibri"/>
                <w:b/>
                <w:kern w:val="0"/>
                <w:sz w:val="24"/>
              </w:rPr>
            </w:pPr>
            <w:r>
              <w:rPr>
                <w:rFonts w:hint="eastAsia" w:ascii="Calibri" w:hAnsi="Calibri"/>
                <w:b/>
                <w:kern w:val="0"/>
                <w:sz w:val="24"/>
              </w:rPr>
              <w:t>单位</w:t>
            </w:r>
          </w:p>
        </w:tc>
        <w:tc>
          <w:tcPr>
            <w:tcW w:w="457" w:type="dxa"/>
            <w:vAlign w:val="center"/>
          </w:tcPr>
          <w:p>
            <w:pPr>
              <w:widowControl w:val="0"/>
              <w:spacing w:line="360" w:lineRule="auto"/>
              <w:jc w:val="center"/>
              <w:rPr>
                <w:rFonts w:ascii="Calibri" w:hAnsi="Calibri"/>
                <w:b/>
                <w:kern w:val="0"/>
                <w:sz w:val="24"/>
              </w:rPr>
            </w:pPr>
            <w:r>
              <w:rPr>
                <w:rFonts w:hint="eastAsia" w:ascii="Calibri" w:hAnsi="Calibri"/>
                <w:b/>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497" w:type="dxa"/>
            <w:vMerge w:val="restart"/>
            <w:vAlign w:val="center"/>
          </w:tcPr>
          <w:p>
            <w:pPr>
              <w:widowControl w:val="0"/>
              <w:spacing w:line="360" w:lineRule="auto"/>
              <w:jc w:val="center"/>
              <w:rPr>
                <w:rFonts w:ascii="Calibri" w:hAnsi="Calibri"/>
                <w:kern w:val="0"/>
                <w:szCs w:val="21"/>
              </w:rPr>
            </w:pPr>
            <w:r>
              <w:rPr>
                <w:rFonts w:ascii="Calibri" w:hAnsi="Calibri"/>
                <w:kern w:val="0"/>
                <w:szCs w:val="21"/>
              </w:rPr>
              <w:t>1</w:t>
            </w:r>
          </w:p>
        </w:tc>
        <w:tc>
          <w:tcPr>
            <w:tcW w:w="1128" w:type="dxa"/>
            <w:vMerge w:val="restart"/>
            <w:vAlign w:val="center"/>
          </w:tcPr>
          <w:p>
            <w:pPr>
              <w:widowControl w:val="0"/>
              <w:spacing w:line="360" w:lineRule="auto"/>
              <w:jc w:val="center"/>
              <w:rPr>
                <w:rFonts w:ascii="Calibri" w:hAnsi="Calibri"/>
                <w:kern w:val="0"/>
                <w:szCs w:val="21"/>
              </w:rPr>
            </w:pPr>
            <w:r>
              <w:rPr>
                <w:rFonts w:hint="eastAsia" w:ascii="Calibri" w:hAnsi="Calibri"/>
                <w:kern w:val="0"/>
                <w:szCs w:val="21"/>
                <w:lang w:eastAsia="zh-Hans"/>
              </w:rPr>
              <w:t>信息化综合故障检测系统</w:t>
            </w:r>
          </w:p>
        </w:tc>
        <w:tc>
          <w:tcPr>
            <w:tcW w:w="703" w:type="dxa"/>
            <w:vAlign w:val="center"/>
          </w:tcPr>
          <w:p>
            <w:pPr>
              <w:widowControl w:val="0"/>
              <w:spacing w:line="360" w:lineRule="auto"/>
              <w:jc w:val="center"/>
              <w:rPr>
                <w:lang w:eastAsia="zh-Hans"/>
              </w:rPr>
            </w:pPr>
            <w:r>
              <w:rPr>
                <w:rFonts w:hint="eastAsia"/>
                <w:lang w:eastAsia="zh-Hans"/>
              </w:rPr>
              <w:t>港口信息化综合故障检测中心平台</w:t>
            </w:r>
          </w:p>
        </w:tc>
        <w:tc>
          <w:tcPr>
            <w:tcW w:w="5222" w:type="dxa"/>
          </w:tcPr>
          <w:p>
            <w:pPr>
              <w:widowControl w:val="0"/>
              <w:spacing w:line="360" w:lineRule="auto"/>
              <w:jc w:val="both"/>
            </w:pPr>
            <w:r>
              <w:rPr>
                <w:rFonts w:hint="eastAsia"/>
              </w:rPr>
              <w:t>1、整个平台支持可分布的、可伸缩的体系结构</w:t>
            </w:r>
          </w:p>
          <w:p>
            <w:pPr>
              <w:widowControl w:val="0"/>
              <w:spacing w:line="360" w:lineRule="auto"/>
              <w:jc w:val="both"/>
            </w:pPr>
            <w:r>
              <w:rPr>
                <w:rFonts w:hint="eastAsia"/>
              </w:rPr>
              <w:t>2、支持部署在主流的操作系统（Linux）和硬件平台上，支持B/S 结构。</w:t>
            </w:r>
          </w:p>
          <w:p>
            <w:pPr>
              <w:widowControl w:val="0"/>
              <w:spacing w:line="360" w:lineRule="auto"/>
              <w:jc w:val="both"/>
            </w:pPr>
            <w:r>
              <w:rPr>
                <w:rFonts w:hint="eastAsia"/>
              </w:rPr>
              <w:t>3、平台软件遵循模块化设计，并且任何软件模块的维护和更新都不影响其它软件模块，软件具有容错能力</w:t>
            </w:r>
          </w:p>
          <w:p>
            <w:pPr>
              <w:widowControl w:val="0"/>
              <w:spacing w:line="360" w:lineRule="auto"/>
              <w:jc w:val="both"/>
            </w:pPr>
            <w:r>
              <w:rPr>
                <w:rFonts w:hint="eastAsia"/>
              </w:rPr>
              <w:t>4、整个平台，采用分布式系统架构进行设计，主要使用分布式应用节点和分布式数据存储</w:t>
            </w:r>
          </w:p>
          <w:p>
            <w:pPr>
              <w:widowControl w:val="0"/>
              <w:spacing w:line="360" w:lineRule="auto"/>
              <w:jc w:val="both"/>
            </w:pPr>
            <w:r>
              <w:rPr>
                <w:rFonts w:hint="eastAsia"/>
              </w:rPr>
              <w:t>5、各应用模块多节点分布部署，实现实时注册服务、统一调度和管理，并且支持应用节点动态扩容</w:t>
            </w:r>
          </w:p>
          <w:p>
            <w:pPr>
              <w:widowControl w:val="0"/>
              <w:spacing w:line="360" w:lineRule="auto"/>
              <w:jc w:val="both"/>
            </w:pPr>
            <w:r>
              <w:rPr>
                <w:rFonts w:hint="eastAsia"/>
              </w:rPr>
              <w:t>6、数据存储使用HDFS分布式文件系统，支持在线横向扩展</w:t>
            </w:r>
          </w:p>
          <w:p>
            <w:pPr>
              <w:widowControl w:val="0"/>
              <w:spacing w:line="360" w:lineRule="auto"/>
              <w:jc w:val="both"/>
            </w:pPr>
            <w:r>
              <w:rPr>
                <w:rFonts w:hint="eastAsia"/>
              </w:rPr>
              <w:t>7、数据处理使用分布式数据节点并行计算，提高数据处理效率</w:t>
            </w:r>
          </w:p>
          <w:p>
            <w:pPr>
              <w:widowControl w:val="0"/>
              <w:spacing w:line="360" w:lineRule="auto"/>
              <w:jc w:val="both"/>
            </w:pPr>
            <w:r>
              <w:rPr>
                <w:rFonts w:hint="eastAsia"/>
              </w:rPr>
              <w:t>8、数据采集使用分布式监控点，实现全业务多层次的监控/告警数据采集和预处理</w:t>
            </w:r>
          </w:p>
        </w:tc>
        <w:tc>
          <w:tcPr>
            <w:tcW w:w="457" w:type="dxa"/>
            <w:vMerge w:val="restart"/>
            <w:vAlign w:val="center"/>
          </w:tcPr>
          <w:p>
            <w:pPr>
              <w:widowControl w:val="0"/>
              <w:spacing w:line="360" w:lineRule="auto"/>
              <w:jc w:val="center"/>
              <w:rPr>
                <w:rFonts w:ascii="宋体" w:hAnsi="宋体"/>
                <w:bCs/>
                <w:kern w:val="0"/>
                <w:sz w:val="20"/>
                <w:szCs w:val="20"/>
                <w:lang w:eastAsia="zh-Hans"/>
              </w:rPr>
            </w:pPr>
            <w:r>
              <w:rPr>
                <w:rFonts w:hint="eastAsia" w:ascii="宋体" w:hAnsi="宋体"/>
                <w:bCs/>
                <w:kern w:val="0"/>
                <w:sz w:val="20"/>
                <w:szCs w:val="20"/>
                <w:lang w:eastAsia="zh-Hans"/>
              </w:rPr>
              <w:t>套</w:t>
            </w:r>
          </w:p>
        </w:tc>
        <w:tc>
          <w:tcPr>
            <w:tcW w:w="457" w:type="dxa"/>
            <w:vMerge w:val="restart"/>
            <w:vAlign w:val="center"/>
          </w:tcPr>
          <w:p>
            <w:pPr>
              <w:widowControl w:val="0"/>
              <w:spacing w:line="360" w:lineRule="auto"/>
              <w:jc w:val="center"/>
              <w:rPr>
                <w:rFonts w:ascii="宋体" w:hAnsi="宋体"/>
                <w:bCs/>
                <w:kern w:val="0"/>
                <w:sz w:val="20"/>
                <w:szCs w:val="20"/>
              </w:rPr>
            </w:pPr>
            <w:r>
              <w:rPr>
                <w:rFonts w:ascii="宋体" w:hAnsi="宋体"/>
                <w:bCs/>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497" w:type="dxa"/>
            <w:vMerge w:val="continue"/>
            <w:vAlign w:val="center"/>
          </w:tcPr>
          <w:p>
            <w:pPr>
              <w:widowControl w:val="0"/>
              <w:spacing w:line="360" w:lineRule="auto"/>
              <w:jc w:val="both"/>
            </w:pPr>
          </w:p>
        </w:tc>
        <w:tc>
          <w:tcPr>
            <w:tcW w:w="1128" w:type="dxa"/>
            <w:vMerge w:val="continue"/>
            <w:vAlign w:val="center"/>
          </w:tcPr>
          <w:p>
            <w:pPr>
              <w:widowControl w:val="0"/>
              <w:spacing w:line="360" w:lineRule="auto"/>
              <w:jc w:val="both"/>
            </w:pPr>
          </w:p>
        </w:tc>
        <w:tc>
          <w:tcPr>
            <w:tcW w:w="703" w:type="dxa"/>
            <w:vAlign w:val="center"/>
          </w:tcPr>
          <w:p>
            <w:pPr>
              <w:widowControl w:val="0"/>
              <w:spacing w:line="360" w:lineRule="auto"/>
              <w:jc w:val="center"/>
              <w:rPr>
                <w:lang w:eastAsia="zh-Hans"/>
              </w:rPr>
            </w:pPr>
            <w:r>
              <w:rPr>
                <w:rFonts w:hint="eastAsia"/>
                <w:lang w:eastAsia="zh-Hans"/>
              </w:rPr>
              <w:t>全链路可观测追踪分析系统</w:t>
            </w:r>
          </w:p>
        </w:tc>
        <w:tc>
          <w:tcPr>
            <w:tcW w:w="5222" w:type="dxa"/>
          </w:tcPr>
          <w:p>
            <w:pPr>
              <w:widowControl w:val="0"/>
              <w:spacing w:line="360" w:lineRule="auto"/>
              <w:jc w:val="both"/>
              <w:rPr>
                <w:lang w:eastAsia="zh-Hans"/>
              </w:rPr>
            </w:pPr>
            <w:r>
              <w:rPr>
                <w:rFonts w:hint="eastAsia"/>
                <w:lang w:eastAsia="zh-Hans"/>
              </w:rPr>
              <w:t>1、支持多源、海量IT以及业务数据的采集与接入，具备完善的数据处理、建模分析能力，并支持所有集群节点运行状态的统一监控与管理，</w:t>
            </w:r>
            <w:r>
              <w:rPr>
                <w:rFonts w:hint="eastAsia"/>
              </w:rPr>
              <w:t>此次配置满足相关点位</w:t>
            </w:r>
            <w:r>
              <w:rPr>
                <w:rFonts w:hint="eastAsia"/>
                <w:lang w:eastAsia="zh-Hans"/>
              </w:rPr>
              <w:t>资源监控</w:t>
            </w:r>
            <w:r>
              <w:rPr>
                <w:rFonts w:hint="eastAsia"/>
              </w:rPr>
              <w:t>接入</w:t>
            </w:r>
            <w:r>
              <w:rPr>
                <w:rFonts w:hint="eastAsia"/>
                <w:lang w:eastAsia="zh-Hans"/>
              </w:rPr>
              <w:t>数</w:t>
            </w:r>
            <w:r>
              <w:rPr>
                <w:rFonts w:hint="eastAsia"/>
              </w:rPr>
              <w:t>大于600</w:t>
            </w:r>
            <w:r>
              <w:rPr>
                <w:rFonts w:hint="eastAsia"/>
                <w:lang w:eastAsia="zh-Hans"/>
              </w:rPr>
              <w:t>个。</w:t>
            </w:r>
          </w:p>
          <w:p>
            <w:pPr>
              <w:widowControl w:val="0"/>
              <w:spacing w:line="360" w:lineRule="auto"/>
              <w:jc w:val="both"/>
              <w:rPr>
                <w:lang w:eastAsia="zh-Hans"/>
              </w:rPr>
            </w:pPr>
            <w:r>
              <w:rPr>
                <w:rFonts w:hint="eastAsia"/>
                <w:lang w:eastAsia="zh-Hans"/>
              </w:rPr>
              <w:t>2、具备针对不同类型数据源的抽取接口的能力，接口程序规范统一，接口具备设定采集范围和采集频率的能力，具备观察接口采集效率、统计采集的数据量的能力</w:t>
            </w:r>
          </w:p>
          <w:p>
            <w:pPr>
              <w:widowControl w:val="0"/>
              <w:spacing w:line="360" w:lineRule="auto"/>
              <w:jc w:val="both"/>
              <w:rPr>
                <w:lang w:eastAsia="zh-Hans"/>
              </w:rPr>
            </w:pPr>
            <w:r>
              <w:rPr>
                <w:rFonts w:hint="eastAsia"/>
                <w:lang w:eastAsia="zh-Hans"/>
              </w:rPr>
              <w:t>3、支持对采集的数据进行可视化数据处理，包括但不限于：数据检查、数据清洗、数据补全、异常标记、单点调试</w:t>
            </w:r>
          </w:p>
          <w:p>
            <w:pPr>
              <w:widowControl w:val="0"/>
              <w:spacing w:line="360" w:lineRule="auto"/>
              <w:jc w:val="both"/>
              <w:rPr>
                <w:lang w:eastAsia="zh-Hans"/>
              </w:rPr>
            </w:pPr>
            <w:r>
              <w:rPr>
                <w:rFonts w:hint="eastAsia"/>
                <w:lang w:eastAsia="zh-Hans"/>
              </w:rPr>
              <w:t>4、支持对观测对象进行自定义标签操作，可通过键值对的形式维护标签，对设备进行批量标签设置，包括追加标签、替换标签</w:t>
            </w:r>
          </w:p>
          <w:p>
            <w:pPr>
              <w:widowControl w:val="0"/>
              <w:spacing w:line="360" w:lineRule="auto"/>
              <w:jc w:val="both"/>
              <w:rPr>
                <w:lang w:eastAsia="zh-Hans"/>
              </w:rPr>
            </w:pPr>
            <w:r>
              <w:rPr>
                <w:rFonts w:hint="eastAsia"/>
                <w:lang w:eastAsia="zh-Hans"/>
              </w:rPr>
              <w:t>5、支持对设备监测点单独设置监测频率。数据采集轮询时间间隔可以设置为秒级、分钟级，最低轮询频率应不少于5秒。（需提供监控频率达5秒的界面截图）。</w:t>
            </w:r>
          </w:p>
          <w:p>
            <w:pPr>
              <w:widowControl w:val="0"/>
              <w:spacing w:line="360" w:lineRule="auto"/>
              <w:jc w:val="both"/>
              <w:rPr>
                <w:lang w:eastAsia="zh-Hans"/>
              </w:rPr>
            </w:pPr>
            <w:r>
              <w:rPr>
                <w:rFonts w:hint="eastAsia"/>
                <w:lang w:eastAsia="zh-Hans"/>
              </w:rPr>
              <w:t>6、支持对物联网设备、主流的数据库中间件，主流网络设备、主流的服务器、主流的防火墙，主流的数据库等各项常用运行指标的采集与告警，同时包括动态、静态阈值设置，同时支持持通过MIB库快速适配设备并实现可观测</w:t>
            </w:r>
          </w:p>
          <w:p>
            <w:pPr>
              <w:widowControl w:val="0"/>
              <w:spacing w:line="360" w:lineRule="auto"/>
              <w:jc w:val="both"/>
              <w:rPr>
                <w:lang w:eastAsia="zh-Hans"/>
              </w:rPr>
            </w:pPr>
            <w:r>
              <w:rPr>
                <w:rFonts w:hint="eastAsia"/>
                <w:lang w:eastAsia="zh-Hans"/>
              </w:rPr>
              <w:t>7、支持对物联网设备的监控，包括精密空调、温湿度、UPS、摄像头、水浸传感器、电源，应支持对接第三方动环系统获取物联网设备的指标数据，实现统一的基础监控和告警</w:t>
            </w:r>
          </w:p>
          <w:p>
            <w:pPr>
              <w:widowControl w:val="0"/>
              <w:spacing w:line="360" w:lineRule="auto"/>
              <w:jc w:val="both"/>
              <w:rPr>
                <w:lang w:eastAsia="zh-Hans"/>
              </w:rPr>
            </w:pPr>
            <w:r>
              <w:rPr>
                <w:rFonts w:hint="eastAsia"/>
                <w:lang w:eastAsia="zh-Hans"/>
              </w:rPr>
              <w:t>8、支持能耗监控，对数据中心PUE、耗电量、电费进行统计分析，自动分析能耗峰值和谷值，可以按日度、月度、年度等时间跨度进行可视化展示。</w:t>
            </w:r>
          </w:p>
        </w:tc>
        <w:tc>
          <w:tcPr>
            <w:tcW w:w="457" w:type="dxa"/>
            <w:vMerge w:val="continue"/>
            <w:vAlign w:val="center"/>
          </w:tcPr>
          <w:p>
            <w:pPr>
              <w:widowControl w:val="0"/>
              <w:spacing w:line="360" w:lineRule="auto"/>
              <w:jc w:val="both"/>
              <w:rPr>
                <w:lang w:eastAsia="zh-Hans"/>
              </w:rPr>
            </w:pPr>
          </w:p>
        </w:tc>
        <w:tc>
          <w:tcPr>
            <w:tcW w:w="457" w:type="dxa"/>
            <w:vMerge w:val="continue"/>
            <w:vAlign w:val="center"/>
          </w:tcPr>
          <w:p>
            <w:pPr>
              <w:widowControl w:val="0"/>
              <w:spacing w:line="360" w:lineRule="auto"/>
              <w:jc w:val="both"/>
              <w:rPr>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497" w:type="dxa"/>
            <w:vMerge w:val="continue"/>
            <w:vAlign w:val="center"/>
          </w:tcPr>
          <w:p>
            <w:pPr>
              <w:widowControl w:val="0"/>
              <w:spacing w:line="360" w:lineRule="auto"/>
              <w:jc w:val="both"/>
              <w:rPr>
                <w:lang w:eastAsia="zh-Hans"/>
              </w:rPr>
            </w:pPr>
          </w:p>
        </w:tc>
        <w:tc>
          <w:tcPr>
            <w:tcW w:w="1128" w:type="dxa"/>
            <w:vMerge w:val="continue"/>
            <w:vAlign w:val="center"/>
          </w:tcPr>
          <w:p>
            <w:pPr>
              <w:widowControl w:val="0"/>
              <w:spacing w:line="360" w:lineRule="auto"/>
              <w:jc w:val="both"/>
              <w:rPr>
                <w:lang w:eastAsia="zh-Hans"/>
              </w:rPr>
            </w:pPr>
          </w:p>
        </w:tc>
        <w:tc>
          <w:tcPr>
            <w:tcW w:w="703" w:type="dxa"/>
            <w:vAlign w:val="center"/>
          </w:tcPr>
          <w:p>
            <w:pPr>
              <w:widowControl w:val="0"/>
              <w:spacing w:line="360" w:lineRule="auto"/>
              <w:jc w:val="center"/>
              <w:rPr>
                <w:lang w:eastAsia="zh-Hans"/>
              </w:rPr>
            </w:pPr>
            <w:r>
              <w:rPr>
                <w:rFonts w:hint="eastAsia"/>
                <w:lang w:eastAsia="zh-Hans"/>
              </w:rPr>
              <w:t>智能故障排查系统</w:t>
            </w:r>
          </w:p>
        </w:tc>
        <w:tc>
          <w:tcPr>
            <w:tcW w:w="5222" w:type="dxa"/>
          </w:tcPr>
          <w:p>
            <w:pPr>
              <w:widowControl w:val="0"/>
              <w:spacing w:line="360" w:lineRule="auto"/>
              <w:jc w:val="both"/>
              <w:rPr>
                <w:lang w:eastAsia="zh-Hans"/>
              </w:rPr>
            </w:pPr>
            <w:r>
              <w:rPr>
                <w:rFonts w:hint="eastAsia"/>
                <w:lang w:eastAsia="zh-Hans"/>
              </w:rPr>
              <w:t>1、支持批量设置和对于任意设备的任意运行指标单独设置。支持以下监控规则:用户自定义运行指标的上下限，且支持对不同时间段设置不同的监控规则；用户根据运行指标的同环比变化量设置监控规则；用户根据数据采集中断时长设置监控规则；系统支持根据运行指标历史特性，自动分析，生成监控规则。内置多套自动分析算法。</w:t>
            </w:r>
          </w:p>
          <w:p>
            <w:pPr>
              <w:widowControl w:val="0"/>
              <w:spacing w:line="360" w:lineRule="auto"/>
              <w:jc w:val="both"/>
              <w:rPr>
                <w:lang w:eastAsia="zh-Hans"/>
              </w:rPr>
            </w:pPr>
            <w:r>
              <w:rPr>
                <w:rFonts w:hint="eastAsia"/>
                <w:lang w:eastAsia="zh-Hans"/>
              </w:rPr>
              <w:t>2、支持拓扑图功能：支持通过自动搜索的方式快速添加网络设备。可通过自动分析ARP表和路由表等，发现网络设备的连接关系，自动生成物理连接拓扑图，同时允许用户根据需要对设备端口的连接关系进行调整。支持导入Visio图直接生成拓扑图。拓扑图上节点与实际设备一一对应。拓扑图上节点状态是否正常，以颜色标识。拓扑图上节点可钻取，查看对应设备的各项指标状态。</w:t>
            </w:r>
          </w:p>
          <w:p>
            <w:pPr>
              <w:widowControl w:val="0"/>
              <w:spacing w:line="360" w:lineRule="auto"/>
              <w:jc w:val="both"/>
              <w:rPr>
                <w:lang w:eastAsia="zh-Hans"/>
              </w:rPr>
            </w:pPr>
            <w:r>
              <w:rPr>
                <w:rFonts w:hint="eastAsia"/>
                <w:lang w:eastAsia="zh-Hans"/>
              </w:rPr>
              <w:t>3、提供多种实时报告、历史数据报告和巡检报告模板：包括实时状态整体报告、流量报告、故障报告、TopN报告、巡检报告和各个设备、监测点的详细报告。各项报告应准确清晰。报表形式应支持曲线图、柱状图、面积图、堆叠图、仪表盘、饼图、正负图等多种形式。报表周期应支持基于天、星期、月及自定义时间段设置。</w:t>
            </w:r>
          </w:p>
          <w:p>
            <w:pPr>
              <w:widowControl w:val="0"/>
              <w:spacing w:line="360" w:lineRule="auto"/>
              <w:jc w:val="both"/>
              <w:rPr>
                <w:lang w:eastAsia="zh-Hans"/>
              </w:rPr>
            </w:pPr>
            <w:r>
              <w:rPr>
                <w:rFonts w:hint="eastAsia"/>
                <w:lang w:eastAsia="zh-Hans"/>
              </w:rPr>
              <w:t>4、具备自监控能力，支持应用模块自监控、应用组件自监控。</w:t>
            </w:r>
          </w:p>
          <w:p>
            <w:pPr>
              <w:widowControl w:val="0"/>
              <w:spacing w:line="360" w:lineRule="auto"/>
              <w:jc w:val="both"/>
              <w:rPr>
                <w:lang w:eastAsia="zh-Hans"/>
              </w:rPr>
            </w:pPr>
            <w:r>
              <w:rPr>
                <w:rFonts w:hint="eastAsia"/>
                <w:lang w:eastAsia="zh-Hans"/>
              </w:rPr>
              <w:t>5、支持按资产类型进行可视化统计分析。支持资产生命周期视图。 支持对数据中心的资产进行360度资产信息管理，支持固定资产、无形资产、备品备件等进行管理。支持批量处理。</w:t>
            </w:r>
          </w:p>
          <w:p>
            <w:pPr>
              <w:widowControl w:val="0"/>
              <w:spacing w:line="360" w:lineRule="auto"/>
              <w:jc w:val="both"/>
              <w:rPr>
                <w:lang w:eastAsia="zh-Hans"/>
              </w:rPr>
            </w:pPr>
            <w:r>
              <w:rPr>
                <w:rFonts w:hint="eastAsia"/>
                <w:lang w:eastAsia="zh-Hans"/>
              </w:rPr>
              <w:t>6、支持资产库存管理，支持用户定义库存分析区间，统计计算期初库存、期末库存、期间出入库数量和出入库明细数据。 支持用户设置库存预警值，库存余量不足时自动通知管理员，避免因资产不足影响业务。</w:t>
            </w:r>
          </w:p>
          <w:p>
            <w:pPr>
              <w:widowControl w:val="0"/>
              <w:spacing w:line="360" w:lineRule="auto"/>
              <w:jc w:val="both"/>
              <w:rPr>
                <w:lang w:eastAsia="zh-Hans"/>
              </w:rPr>
            </w:pPr>
            <w:r>
              <w:rPr>
                <w:rFonts w:hint="eastAsia"/>
                <w:lang w:eastAsia="zh-Hans"/>
              </w:rPr>
              <w:t>7、支持资产生命周期管理，可视化展示不同处在生命周期状态的资产情况。生命周期包括但不仅限库存、在架、投产、停机、维护、报废等，用户可以根据实际业务需要灵活调整生命周期分类。</w:t>
            </w:r>
          </w:p>
          <w:p>
            <w:pPr>
              <w:widowControl w:val="0"/>
              <w:spacing w:line="360" w:lineRule="auto"/>
              <w:jc w:val="both"/>
              <w:rPr>
                <w:lang w:eastAsia="zh-Hans"/>
              </w:rPr>
            </w:pPr>
            <w:r>
              <w:rPr>
                <w:rFonts w:hint="eastAsia"/>
                <w:lang w:eastAsia="zh-Hans"/>
              </w:rPr>
              <w:t>8、资产出入库、上下架、领用、变更、报废等支持流程驱动，用户可以自定义资产流程和工单。包括但不仅限资产采购、资产入库、资产领用、资产变更、资产调拨、资产上架、资产下架、资产上电、资产下电、资产回收、资产报废等；支持控制资产手动变更，避免未经流程审批手动修改资产数据造成账实不符。</w:t>
            </w:r>
          </w:p>
        </w:tc>
        <w:tc>
          <w:tcPr>
            <w:tcW w:w="457" w:type="dxa"/>
            <w:vMerge w:val="continue"/>
            <w:vAlign w:val="center"/>
          </w:tcPr>
          <w:p>
            <w:pPr>
              <w:widowControl w:val="0"/>
              <w:spacing w:line="360" w:lineRule="auto"/>
              <w:jc w:val="both"/>
              <w:rPr>
                <w:lang w:eastAsia="zh-Hans"/>
              </w:rPr>
            </w:pPr>
          </w:p>
        </w:tc>
        <w:tc>
          <w:tcPr>
            <w:tcW w:w="457" w:type="dxa"/>
            <w:vMerge w:val="continue"/>
            <w:vAlign w:val="center"/>
          </w:tcPr>
          <w:p>
            <w:pPr>
              <w:widowControl w:val="0"/>
              <w:spacing w:line="360" w:lineRule="auto"/>
              <w:jc w:val="both"/>
              <w:rPr>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497" w:type="dxa"/>
            <w:vMerge w:val="continue"/>
            <w:vAlign w:val="center"/>
          </w:tcPr>
          <w:p>
            <w:pPr>
              <w:widowControl w:val="0"/>
              <w:spacing w:line="360" w:lineRule="auto"/>
              <w:jc w:val="both"/>
            </w:pPr>
          </w:p>
        </w:tc>
        <w:tc>
          <w:tcPr>
            <w:tcW w:w="1128" w:type="dxa"/>
            <w:vMerge w:val="continue"/>
            <w:vAlign w:val="center"/>
          </w:tcPr>
          <w:p>
            <w:pPr>
              <w:widowControl w:val="0"/>
              <w:spacing w:line="360" w:lineRule="auto"/>
              <w:jc w:val="both"/>
            </w:pPr>
          </w:p>
        </w:tc>
        <w:tc>
          <w:tcPr>
            <w:tcW w:w="703" w:type="dxa"/>
            <w:vAlign w:val="center"/>
          </w:tcPr>
          <w:p>
            <w:pPr>
              <w:widowControl w:val="0"/>
              <w:spacing w:line="360" w:lineRule="auto"/>
              <w:jc w:val="center"/>
              <w:rPr>
                <w:lang w:eastAsia="zh-Hans"/>
              </w:rPr>
            </w:pPr>
            <w:r>
              <w:rPr>
                <w:rFonts w:hint="eastAsia"/>
                <w:lang w:eastAsia="zh-Hans"/>
              </w:rPr>
              <w:t>数据中台</w:t>
            </w:r>
          </w:p>
        </w:tc>
        <w:tc>
          <w:tcPr>
            <w:tcW w:w="5222" w:type="dxa"/>
          </w:tcPr>
          <w:p>
            <w:pPr>
              <w:widowControl w:val="0"/>
              <w:spacing w:line="360" w:lineRule="auto"/>
              <w:jc w:val="both"/>
              <w:rPr>
                <w:lang w:eastAsia="zh-Hans"/>
              </w:rPr>
            </w:pPr>
            <w:r>
              <w:rPr>
                <w:rFonts w:hint="eastAsia"/>
              </w:rPr>
              <w:t>1、</w:t>
            </w:r>
            <w:r>
              <w:rPr>
                <w:rFonts w:hint="eastAsia"/>
                <w:lang w:eastAsia="zh-Hans"/>
              </w:rPr>
              <w:t>提供可视化的数据处理pipeline定义面板，内置丰富的数据处理组件以及数据处理模版，用户通过拖拽的方式即可创建数据处理pipeline，操作简单、使用方便。</w:t>
            </w:r>
          </w:p>
          <w:p>
            <w:pPr>
              <w:widowControl w:val="0"/>
              <w:spacing w:line="360" w:lineRule="auto"/>
              <w:jc w:val="both"/>
              <w:rPr>
                <w:lang w:eastAsia="zh-Hans"/>
              </w:rPr>
            </w:pPr>
            <w:r>
              <w:rPr>
                <w:rFonts w:hint="eastAsia"/>
                <w:lang w:eastAsia="zh-Hans"/>
              </w:rPr>
              <w:t>2、支持通过Kafka Topic以及HTTP接口来接收流式数据，实时获取流式数据，并将数据通过简单转换后，存入数据表中，使数据接入的配置过程简单、便捷。</w:t>
            </w:r>
          </w:p>
          <w:p>
            <w:pPr>
              <w:widowControl w:val="0"/>
              <w:spacing w:line="360" w:lineRule="auto"/>
              <w:jc w:val="both"/>
              <w:rPr>
                <w:lang w:eastAsia="zh-Hans"/>
              </w:rPr>
            </w:pPr>
            <w:r>
              <w:rPr>
                <w:rFonts w:hint="eastAsia"/>
                <w:lang w:eastAsia="zh-Hans"/>
              </w:rPr>
              <w:t>3、支持数据集分类管理，包括：数据集分类的创建、重命名、删除、位置调整。</w:t>
            </w:r>
          </w:p>
          <w:p>
            <w:pPr>
              <w:widowControl w:val="0"/>
              <w:spacing w:line="360" w:lineRule="auto"/>
              <w:jc w:val="both"/>
            </w:pPr>
            <w:r>
              <w:rPr>
                <w:rFonts w:hint="eastAsia"/>
                <w:lang w:eastAsia="zh-Hans"/>
              </w:rPr>
              <w:t>4、数据计算支持拖拉拽模式流程、Jar任务流程、SQL模式流程三种方式灵活创建计算任务。</w:t>
            </w:r>
          </w:p>
          <w:p>
            <w:pPr>
              <w:widowControl w:val="0"/>
              <w:spacing w:line="360" w:lineRule="auto"/>
              <w:jc w:val="both"/>
            </w:pPr>
            <w:r>
              <w:rPr>
                <w:lang w:eastAsia="zh-Hans"/>
              </w:rPr>
              <w:t>5、</w:t>
            </w:r>
            <w:r>
              <w:rPr>
                <w:rFonts w:hint="eastAsia"/>
                <w:lang w:eastAsia="zh-Hans"/>
              </w:rPr>
              <w:t>根据岳阳城陵矶</w:t>
            </w:r>
            <w:r>
              <w:rPr>
                <w:rFonts w:hint="eastAsia"/>
              </w:rPr>
              <w:t>信息化运行</w:t>
            </w:r>
            <w:r>
              <w:rPr>
                <w:rFonts w:hint="eastAsia"/>
                <w:lang w:eastAsia="zh-Hans"/>
              </w:rPr>
              <w:t>大数据特征</w:t>
            </w:r>
            <w:r>
              <w:rPr>
                <w:lang w:eastAsia="zh-Hans"/>
              </w:rPr>
              <w:t>，支持在数据采集、数据解析、数据查看三个阶段进行脱敏。</w:t>
            </w:r>
          </w:p>
          <w:p>
            <w:pPr>
              <w:widowControl w:val="0"/>
              <w:spacing w:line="360" w:lineRule="auto"/>
              <w:jc w:val="both"/>
              <w:rPr>
                <w:lang w:eastAsia="zh-Hans"/>
              </w:rPr>
            </w:pPr>
            <w:r>
              <w:rPr>
                <w:lang w:eastAsia="zh-Hans"/>
              </w:rPr>
              <w:t>6、能够</w:t>
            </w:r>
            <w:r>
              <w:rPr>
                <w:rFonts w:hint="eastAsia"/>
                <w:lang w:eastAsia="zh-Hans"/>
              </w:rPr>
              <w:t>依据岳阳城陵矶</w:t>
            </w:r>
            <w:r>
              <w:rPr>
                <w:rFonts w:hint="eastAsia"/>
              </w:rPr>
              <w:t>信息化运行</w:t>
            </w:r>
            <w:r>
              <w:rPr>
                <w:rFonts w:hint="eastAsia"/>
                <w:lang w:eastAsia="zh-Hans"/>
              </w:rPr>
              <w:t>大数据特征</w:t>
            </w:r>
            <w:r>
              <w:rPr>
                <w:lang w:eastAsia="zh-Hans"/>
              </w:rPr>
              <w:t>通过实时大屏，直观呈现业务流程及业务节点的</w:t>
            </w:r>
            <w:r>
              <w:rPr>
                <w:rFonts w:hint="eastAsia"/>
              </w:rPr>
              <w:t>重要</w:t>
            </w:r>
            <w:r>
              <w:rPr>
                <w:lang w:eastAsia="zh-Hans"/>
              </w:rPr>
              <w:t>信息。</w:t>
            </w:r>
          </w:p>
        </w:tc>
        <w:tc>
          <w:tcPr>
            <w:tcW w:w="457" w:type="dxa"/>
            <w:vMerge w:val="continue"/>
            <w:vAlign w:val="center"/>
          </w:tcPr>
          <w:p>
            <w:pPr>
              <w:widowControl w:val="0"/>
              <w:spacing w:line="360" w:lineRule="auto"/>
              <w:jc w:val="both"/>
              <w:rPr>
                <w:lang w:eastAsia="zh-Hans"/>
              </w:rPr>
            </w:pPr>
          </w:p>
        </w:tc>
        <w:tc>
          <w:tcPr>
            <w:tcW w:w="457" w:type="dxa"/>
            <w:vMerge w:val="continue"/>
            <w:vAlign w:val="center"/>
          </w:tcPr>
          <w:p>
            <w:pPr>
              <w:widowControl w:val="0"/>
              <w:spacing w:line="360" w:lineRule="auto"/>
              <w:jc w:val="both"/>
              <w:rPr>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497" w:type="dxa"/>
            <w:vMerge w:val="continue"/>
            <w:vAlign w:val="center"/>
          </w:tcPr>
          <w:p>
            <w:pPr>
              <w:widowControl w:val="0"/>
              <w:spacing w:line="360" w:lineRule="auto"/>
              <w:jc w:val="both"/>
              <w:rPr>
                <w:lang w:eastAsia="zh-Hans"/>
              </w:rPr>
            </w:pPr>
          </w:p>
        </w:tc>
        <w:tc>
          <w:tcPr>
            <w:tcW w:w="1128" w:type="dxa"/>
            <w:vMerge w:val="continue"/>
            <w:vAlign w:val="center"/>
          </w:tcPr>
          <w:p>
            <w:pPr>
              <w:widowControl w:val="0"/>
              <w:spacing w:line="360" w:lineRule="auto"/>
              <w:jc w:val="both"/>
              <w:rPr>
                <w:lang w:eastAsia="zh-Hans"/>
              </w:rPr>
            </w:pPr>
          </w:p>
        </w:tc>
        <w:tc>
          <w:tcPr>
            <w:tcW w:w="703" w:type="dxa"/>
            <w:vAlign w:val="center"/>
          </w:tcPr>
          <w:p>
            <w:pPr>
              <w:widowControl w:val="0"/>
              <w:spacing w:line="360" w:lineRule="auto"/>
              <w:jc w:val="center"/>
              <w:rPr>
                <w:lang w:eastAsia="zh-Hans"/>
              </w:rPr>
            </w:pPr>
            <w:r>
              <w:rPr>
                <w:rFonts w:hint="eastAsia"/>
                <w:lang w:eastAsia="zh-Hans"/>
              </w:rPr>
              <w:t>智能告警系统</w:t>
            </w:r>
          </w:p>
        </w:tc>
        <w:tc>
          <w:tcPr>
            <w:tcW w:w="5222" w:type="dxa"/>
          </w:tcPr>
          <w:p>
            <w:pPr>
              <w:widowControl w:val="0"/>
              <w:spacing w:line="360" w:lineRule="auto"/>
              <w:jc w:val="both"/>
              <w:rPr>
                <w:lang w:eastAsia="zh-Hans"/>
              </w:rPr>
            </w:pPr>
            <w:r>
              <w:rPr>
                <w:rFonts w:hint="eastAsia"/>
                <w:lang w:eastAsia="zh-Hans"/>
              </w:rPr>
              <w:t>1、支持短信、邮件、企业微信、钉钉告警方式；支持对告警任务进行手动静默操作；持供多样的告警策略，包括事件连续发生多少次时发送告警、设定时间内有几次同样状态时发送告警、事件连续发生多少次后停止发送告警、当发过告警监测点恢复正常时发送一次通知等策略，同时支持告警升级策略，实现告警转发；支持设备间的从属依赖关系进行告警压缩；</w:t>
            </w:r>
          </w:p>
          <w:p>
            <w:pPr>
              <w:widowControl w:val="0"/>
              <w:spacing w:line="360" w:lineRule="auto"/>
              <w:jc w:val="both"/>
              <w:rPr>
                <w:lang w:eastAsia="zh-Hans"/>
              </w:rPr>
            </w:pPr>
            <w:r>
              <w:rPr>
                <w:rFonts w:hint="eastAsia"/>
                <w:lang w:eastAsia="zh-Hans"/>
              </w:rPr>
              <w:t>2、支持静态阈值、同环比告警、智能算法阈值和空告警四个告警判定类型。其中智能算法包括tima异常检测和自动阈值异常检测等多种算法，并支持算法调参。</w:t>
            </w:r>
          </w:p>
          <w:p>
            <w:pPr>
              <w:widowControl w:val="0"/>
              <w:spacing w:line="360" w:lineRule="auto"/>
              <w:jc w:val="both"/>
              <w:rPr>
                <w:lang w:eastAsia="zh-Hans"/>
              </w:rPr>
            </w:pPr>
            <w:r>
              <w:rPr>
                <w:rFonts w:hint="eastAsia"/>
                <w:lang w:eastAsia="zh-Hans"/>
              </w:rPr>
              <w:t>3、支持用户自定义告警内容，通过预设值参数修改告警模板信息，告警内容可定义1个或多个关联指标。自定义告警规则支持多个监测指标的组合条件设置；支持同一个设备发生故障后以不同的通知内容发送给不同的接收者；支持自定义告警级别名称和显示颜色</w:t>
            </w:r>
          </w:p>
        </w:tc>
        <w:tc>
          <w:tcPr>
            <w:tcW w:w="457" w:type="dxa"/>
            <w:vMerge w:val="continue"/>
            <w:vAlign w:val="center"/>
          </w:tcPr>
          <w:p>
            <w:pPr>
              <w:widowControl w:val="0"/>
              <w:spacing w:line="360" w:lineRule="auto"/>
              <w:jc w:val="both"/>
              <w:rPr>
                <w:lang w:eastAsia="zh-Hans"/>
              </w:rPr>
            </w:pPr>
          </w:p>
        </w:tc>
        <w:tc>
          <w:tcPr>
            <w:tcW w:w="457" w:type="dxa"/>
            <w:vMerge w:val="continue"/>
            <w:vAlign w:val="center"/>
          </w:tcPr>
          <w:p>
            <w:pPr>
              <w:widowControl w:val="0"/>
              <w:spacing w:line="360" w:lineRule="auto"/>
              <w:jc w:val="both"/>
              <w:rPr>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497" w:type="dxa"/>
            <w:vMerge w:val="continue"/>
            <w:vAlign w:val="center"/>
          </w:tcPr>
          <w:p>
            <w:pPr>
              <w:widowControl w:val="0"/>
              <w:spacing w:line="360" w:lineRule="auto"/>
              <w:jc w:val="both"/>
              <w:rPr>
                <w:lang w:eastAsia="zh-Hans"/>
              </w:rPr>
            </w:pPr>
          </w:p>
        </w:tc>
        <w:tc>
          <w:tcPr>
            <w:tcW w:w="1128" w:type="dxa"/>
            <w:vMerge w:val="continue"/>
            <w:vAlign w:val="center"/>
          </w:tcPr>
          <w:p>
            <w:pPr>
              <w:widowControl w:val="0"/>
              <w:spacing w:line="360" w:lineRule="auto"/>
              <w:jc w:val="both"/>
              <w:rPr>
                <w:lang w:eastAsia="zh-Hans"/>
              </w:rPr>
            </w:pPr>
          </w:p>
        </w:tc>
        <w:tc>
          <w:tcPr>
            <w:tcW w:w="703" w:type="dxa"/>
            <w:vAlign w:val="center"/>
          </w:tcPr>
          <w:p>
            <w:pPr>
              <w:widowControl w:val="0"/>
              <w:spacing w:line="360" w:lineRule="auto"/>
              <w:jc w:val="center"/>
              <w:rPr>
                <w:lang w:eastAsia="zh-Hans"/>
              </w:rPr>
            </w:pPr>
            <w:r>
              <w:rPr>
                <w:rFonts w:hint="eastAsia"/>
                <w:lang w:eastAsia="zh-Hans"/>
              </w:rPr>
              <w:t>业务可观测系统</w:t>
            </w:r>
          </w:p>
        </w:tc>
        <w:tc>
          <w:tcPr>
            <w:tcW w:w="5222" w:type="dxa"/>
          </w:tcPr>
          <w:p>
            <w:pPr>
              <w:widowControl w:val="0"/>
              <w:spacing w:line="360" w:lineRule="auto"/>
              <w:jc w:val="both"/>
              <w:rPr>
                <w:lang w:eastAsia="zh-Hans"/>
              </w:rPr>
            </w:pPr>
            <w:r>
              <w:rPr>
                <w:rFonts w:hint="eastAsia"/>
                <w:lang w:eastAsia="zh-Hans"/>
              </w:rPr>
              <w:t>1、系统内置丰富美观的指标看板，支持观测点运行驾驶舱视图，且可以根据实际业务需要对运行指标驾驶舱进行重新配置。</w:t>
            </w:r>
          </w:p>
          <w:p>
            <w:pPr>
              <w:widowControl w:val="0"/>
              <w:spacing w:line="360" w:lineRule="auto"/>
              <w:jc w:val="both"/>
              <w:rPr>
                <w:lang w:eastAsia="zh-Hans"/>
              </w:rPr>
            </w:pPr>
            <w:r>
              <w:rPr>
                <w:rFonts w:hint="eastAsia"/>
                <w:lang w:eastAsia="zh-Hans"/>
              </w:rPr>
              <w:t>2、支持图文资料在线查看、视频课程在线学习。支持制定学习计划；支持学习计划执行情况进行跟进。支持在线题库、在线考试、在线阅卷。</w:t>
            </w:r>
          </w:p>
          <w:p>
            <w:pPr>
              <w:widowControl w:val="0"/>
              <w:spacing w:line="360" w:lineRule="auto"/>
              <w:jc w:val="both"/>
              <w:rPr>
                <w:lang w:eastAsia="zh-Hans"/>
              </w:rPr>
            </w:pPr>
            <w:r>
              <w:rPr>
                <w:rFonts w:hint="eastAsia"/>
                <w:lang w:eastAsia="zh-Hans"/>
              </w:rPr>
              <w:t>3、支持通过单元格自定义报表，支持定义复杂报表；如明细表、聚合表、分组数据报表、交叉报表、多级循环表头、条件查询类型报表，能够适用于各种业务类型的多样化的报表展现形式。</w:t>
            </w:r>
          </w:p>
          <w:p>
            <w:pPr>
              <w:widowControl w:val="0"/>
              <w:spacing w:line="360" w:lineRule="auto"/>
              <w:jc w:val="both"/>
              <w:rPr>
                <w:lang w:eastAsia="zh-Hans"/>
              </w:rPr>
            </w:pPr>
            <w:r>
              <w:rPr>
                <w:rFonts w:hint="eastAsia"/>
                <w:lang w:eastAsia="zh-Hans"/>
              </w:rPr>
              <w:t>4、支持自定义看板样式，自由添加图表、修改图表位置、修改图表大小、修改看板标题，支持自由的拖拽图表，构建满足自己工作场景的看板。</w:t>
            </w:r>
          </w:p>
          <w:p>
            <w:pPr>
              <w:widowControl w:val="0"/>
              <w:spacing w:line="360" w:lineRule="auto"/>
              <w:jc w:val="both"/>
              <w:rPr>
                <w:lang w:eastAsia="zh-Hans"/>
              </w:rPr>
            </w:pPr>
            <w:r>
              <w:rPr>
                <w:rFonts w:hint="eastAsia"/>
                <w:lang w:eastAsia="zh-Hans"/>
              </w:rPr>
              <w:t>5、订阅管理，实现对看板订阅任务和订阅发送记录的管理。</w:t>
            </w:r>
          </w:p>
          <w:p>
            <w:pPr>
              <w:widowControl w:val="0"/>
              <w:spacing w:line="360" w:lineRule="auto"/>
              <w:jc w:val="both"/>
              <w:rPr>
                <w:lang w:eastAsia="zh-Hans"/>
              </w:rPr>
            </w:pPr>
            <w:r>
              <w:rPr>
                <w:rFonts w:hint="eastAsia"/>
                <w:lang w:eastAsia="zh-Hans"/>
              </w:rPr>
              <w:t>6、导出管理，实现对看板和图表的导出Excel记录进行管理，查看导出进度，有效期内可以重复下载看板、图表。</w:t>
            </w:r>
          </w:p>
        </w:tc>
        <w:tc>
          <w:tcPr>
            <w:tcW w:w="457" w:type="dxa"/>
            <w:vMerge w:val="continue"/>
            <w:vAlign w:val="center"/>
          </w:tcPr>
          <w:p>
            <w:pPr>
              <w:widowControl w:val="0"/>
              <w:spacing w:line="360" w:lineRule="auto"/>
              <w:jc w:val="both"/>
              <w:rPr>
                <w:lang w:eastAsia="zh-Hans"/>
              </w:rPr>
            </w:pPr>
          </w:p>
        </w:tc>
        <w:tc>
          <w:tcPr>
            <w:tcW w:w="457" w:type="dxa"/>
            <w:vMerge w:val="continue"/>
            <w:vAlign w:val="center"/>
          </w:tcPr>
          <w:p>
            <w:pPr>
              <w:widowControl w:val="0"/>
              <w:spacing w:line="360" w:lineRule="auto"/>
              <w:jc w:val="both"/>
              <w:rPr>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widowControl w:val="0"/>
              <w:spacing w:line="360" w:lineRule="auto"/>
              <w:jc w:val="center"/>
              <w:rPr>
                <w:rFonts w:ascii="Calibri" w:hAnsi="Calibri"/>
                <w:kern w:val="0"/>
                <w:szCs w:val="21"/>
              </w:rPr>
            </w:pPr>
            <w:r>
              <w:rPr>
                <w:rFonts w:ascii="Calibri" w:hAnsi="Calibri"/>
                <w:kern w:val="0"/>
                <w:szCs w:val="21"/>
              </w:rPr>
              <w:t>2</w:t>
            </w:r>
          </w:p>
        </w:tc>
        <w:tc>
          <w:tcPr>
            <w:tcW w:w="1128" w:type="dxa"/>
            <w:vAlign w:val="center"/>
          </w:tcPr>
          <w:p>
            <w:pPr>
              <w:widowControl w:val="0"/>
              <w:spacing w:line="360" w:lineRule="auto"/>
              <w:jc w:val="both"/>
              <w:rPr>
                <w:rFonts w:ascii="Calibri" w:hAnsi="Calibri"/>
                <w:kern w:val="0"/>
                <w:szCs w:val="21"/>
              </w:rPr>
            </w:pPr>
            <w:r>
              <w:rPr>
                <w:rFonts w:hint="eastAsia" w:ascii="Calibri" w:hAnsi="Calibri"/>
                <w:kern w:val="0"/>
                <w:szCs w:val="21"/>
              </w:rPr>
              <w:t>港口信息化故障检测系统专用</w:t>
            </w:r>
            <w:r>
              <w:rPr>
                <w:rFonts w:hint="eastAsia" w:ascii="Calibri" w:hAnsi="Calibri"/>
                <w:kern w:val="0"/>
                <w:szCs w:val="21"/>
                <w:lang w:eastAsia="zh-Hans"/>
              </w:rPr>
              <w:t>服务器</w:t>
            </w:r>
          </w:p>
        </w:tc>
        <w:tc>
          <w:tcPr>
            <w:tcW w:w="703" w:type="dxa"/>
            <w:vAlign w:val="center"/>
          </w:tcPr>
          <w:p>
            <w:pPr>
              <w:widowControl w:val="0"/>
              <w:spacing w:line="360" w:lineRule="auto"/>
              <w:jc w:val="both"/>
              <w:rPr>
                <w:lang w:eastAsia="zh-Hans"/>
              </w:rPr>
            </w:pPr>
          </w:p>
        </w:tc>
        <w:tc>
          <w:tcPr>
            <w:tcW w:w="5222" w:type="dxa"/>
          </w:tcPr>
          <w:p>
            <w:pPr>
              <w:widowControl w:val="0"/>
              <w:spacing w:line="360" w:lineRule="auto"/>
              <w:jc w:val="both"/>
              <w:rPr>
                <w:lang w:eastAsia="zh-Hans"/>
              </w:rPr>
            </w:pPr>
            <w:r>
              <w:rPr>
                <w:rFonts w:hint="eastAsia"/>
                <w:lang w:eastAsia="zh-Hans"/>
              </w:rPr>
              <w:t>1、2U机架式专用服务器。</w:t>
            </w:r>
          </w:p>
          <w:p>
            <w:pPr>
              <w:widowControl w:val="0"/>
              <w:spacing w:line="360" w:lineRule="auto"/>
              <w:jc w:val="both"/>
              <w:rPr>
                <w:lang w:eastAsia="zh-Hans"/>
              </w:rPr>
            </w:pPr>
            <w:r>
              <w:rPr>
                <w:rFonts w:hint="eastAsia"/>
                <w:lang w:eastAsia="zh-Hans"/>
              </w:rPr>
              <w:t>2、CPU ：主频≥2.2GHz，总核数≥16核。</w:t>
            </w:r>
          </w:p>
          <w:p>
            <w:pPr>
              <w:widowControl w:val="0"/>
              <w:spacing w:line="360" w:lineRule="auto"/>
              <w:jc w:val="both"/>
              <w:rPr>
                <w:lang w:eastAsia="zh-Hans"/>
              </w:rPr>
            </w:pPr>
            <w:r>
              <w:rPr>
                <w:rFonts w:hint="eastAsia"/>
                <w:lang w:eastAsia="zh-Hans"/>
              </w:rPr>
              <w:t>3、内存：总配置≥128GB。</w:t>
            </w:r>
          </w:p>
          <w:p>
            <w:pPr>
              <w:widowControl w:val="0"/>
              <w:spacing w:line="360" w:lineRule="auto"/>
              <w:jc w:val="both"/>
              <w:rPr>
                <w:lang w:eastAsia="zh-Hans"/>
              </w:rPr>
            </w:pPr>
            <w:r>
              <w:rPr>
                <w:rFonts w:hint="eastAsia"/>
                <w:lang w:eastAsia="zh-Hans"/>
              </w:rPr>
              <w:t>4、硬盘：SATA 硬盘，容量》16TB。</w:t>
            </w:r>
          </w:p>
          <w:p>
            <w:pPr>
              <w:pStyle w:val="2"/>
              <w:widowControl w:val="0"/>
              <w:spacing w:line="360" w:lineRule="auto"/>
              <w:ind w:firstLine="0"/>
              <w:jc w:val="both"/>
              <w:rPr>
                <w:rFonts w:ascii="Times New Roman"/>
                <w:snapToGrid/>
                <w:kern w:val="2"/>
                <w:sz w:val="21"/>
                <w:szCs w:val="24"/>
                <w:lang w:eastAsia="zh-Hans"/>
              </w:rPr>
            </w:pPr>
            <w:r>
              <w:rPr>
                <w:rFonts w:hint="eastAsia" w:ascii="Times New Roman"/>
                <w:snapToGrid/>
                <w:kern w:val="2"/>
                <w:sz w:val="21"/>
                <w:szCs w:val="24"/>
                <w:lang w:eastAsia="zh-Hans"/>
              </w:rPr>
              <w:t xml:space="preserve">5、网络：板载1000M网卡*2 </w:t>
            </w:r>
          </w:p>
        </w:tc>
        <w:tc>
          <w:tcPr>
            <w:tcW w:w="457" w:type="dxa"/>
            <w:vAlign w:val="center"/>
          </w:tcPr>
          <w:p>
            <w:pPr>
              <w:widowControl w:val="0"/>
              <w:spacing w:line="360" w:lineRule="auto"/>
              <w:jc w:val="center"/>
              <w:rPr>
                <w:rFonts w:ascii="Calibri" w:hAnsi="Calibri"/>
                <w:kern w:val="0"/>
                <w:szCs w:val="21"/>
              </w:rPr>
            </w:pPr>
            <w:r>
              <w:rPr>
                <w:rFonts w:hint="eastAsia" w:ascii="Calibri" w:hAnsi="Calibri"/>
                <w:kern w:val="0"/>
                <w:szCs w:val="21"/>
              </w:rPr>
              <w:t>台</w:t>
            </w:r>
          </w:p>
        </w:tc>
        <w:tc>
          <w:tcPr>
            <w:tcW w:w="457" w:type="dxa"/>
            <w:vAlign w:val="center"/>
          </w:tcPr>
          <w:p>
            <w:pPr>
              <w:widowControl w:val="0"/>
              <w:spacing w:line="360" w:lineRule="auto"/>
              <w:jc w:val="center"/>
              <w:rPr>
                <w:rFonts w:ascii="Calibri" w:hAnsi="Calibri"/>
                <w:kern w:val="0"/>
                <w:szCs w:val="21"/>
              </w:rPr>
            </w:pPr>
            <w:r>
              <w:rPr>
                <w:rFonts w:hint="eastAsia" w:ascii="Calibri" w:hAnsi="Calibri"/>
                <w:kern w:val="0"/>
                <w:szCs w:val="21"/>
              </w:rPr>
              <w:t>1</w:t>
            </w:r>
          </w:p>
        </w:tc>
      </w:tr>
    </w:tbl>
    <w:p>
      <w:pPr>
        <w:pStyle w:val="3"/>
        <w:spacing w:line="360" w:lineRule="auto"/>
      </w:pPr>
      <w:r>
        <w:rPr>
          <w:rFonts w:hint="eastAsia"/>
        </w:rPr>
        <w:t xml:space="preserve">   </w:t>
      </w:r>
    </w:p>
    <w:p>
      <w:pPr>
        <w:spacing w:line="360" w:lineRule="auto"/>
        <w:rPr>
          <w:rFonts w:ascii="宋体" w:hAnsi="宋体" w:cs="宋体"/>
          <w:sz w:val="24"/>
        </w:rPr>
      </w:pPr>
      <w:r>
        <w:rPr>
          <w:rFonts w:hint="eastAsia" w:ascii="宋体" w:hAnsi="宋体" w:cs="宋体"/>
          <w:sz w:val="24"/>
        </w:rPr>
        <w:br w:type="page"/>
      </w:r>
    </w:p>
    <w:p>
      <w:pPr>
        <w:spacing w:line="360" w:lineRule="auto"/>
        <w:rPr>
          <w:rFonts w:ascii="宋体" w:hAnsi="宋体" w:cs="宋体"/>
          <w:sz w:val="24"/>
        </w:rPr>
      </w:pPr>
      <w:r>
        <w:rPr>
          <w:rFonts w:hint="eastAsia" w:ascii="宋体" w:hAnsi="宋体" w:cs="宋体"/>
          <w:sz w:val="24"/>
        </w:rPr>
        <w:t>（五）供货范围:本次采购含新设备采购及后期安装调试、培训服务。</w:t>
      </w:r>
    </w:p>
    <w:p>
      <w:pPr>
        <w:spacing w:line="360" w:lineRule="auto"/>
        <w:rPr>
          <w:rFonts w:ascii="宋体" w:hAnsi="宋体" w:cs="宋体"/>
          <w:sz w:val="24"/>
        </w:rPr>
      </w:pPr>
      <w:r>
        <w:rPr>
          <w:rFonts w:hint="eastAsia" w:ascii="宋体" w:hAnsi="宋体" w:cs="宋体"/>
          <w:sz w:val="24"/>
        </w:rPr>
        <w:t>（六）附件及零配件、备品备件的要求：按采购数量配置设备电源线等附件。</w:t>
      </w:r>
    </w:p>
    <w:p>
      <w:pPr>
        <w:spacing w:line="360" w:lineRule="auto"/>
        <w:rPr>
          <w:rFonts w:ascii="宋体" w:hAnsi="宋体" w:cs="宋体"/>
          <w:sz w:val="24"/>
        </w:rPr>
      </w:pPr>
      <w:r>
        <w:rPr>
          <w:rFonts w:hint="eastAsia" w:ascii="宋体" w:hAnsi="宋体" w:cs="宋体"/>
          <w:sz w:val="24"/>
        </w:rPr>
        <w:t>（七）验收标准和方法：</w:t>
      </w:r>
    </w:p>
    <w:p>
      <w:pPr>
        <w:adjustRightInd w:val="0"/>
        <w:snapToGrid w:val="0"/>
        <w:spacing w:line="360" w:lineRule="auto"/>
        <w:ind w:left="357" w:leftChars="170"/>
        <w:rPr>
          <w:rFonts w:ascii="宋体" w:hAnsi="宋体"/>
          <w:sz w:val="24"/>
        </w:rPr>
      </w:pPr>
      <w:r>
        <w:rPr>
          <w:rFonts w:hint="eastAsia" w:ascii="宋体" w:hAnsi="宋体"/>
          <w:sz w:val="24"/>
        </w:rPr>
        <w:t>1.供应商所提供的产品须满足国家相关规范要求；</w:t>
      </w:r>
    </w:p>
    <w:p>
      <w:pPr>
        <w:adjustRightInd w:val="0"/>
        <w:snapToGrid w:val="0"/>
        <w:spacing w:line="360" w:lineRule="auto"/>
        <w:ind w:left="357" w:leftChars="170"/>
        <w:rPr>
          <w:rFonts w:ascii="宋体" w:hAnsi="宋体"/>
          <w:sz w:val="24"/>
        </w:rPr>
      </w:pPr>
      <w:r>
        <w:rPr>
          <w:rFonts w:hint="eastAsia" w:ascii="宋体" w:hAnsi="宋体"/>
          <w:sz w:val="24"/>
        </w:rPr>
        <w:t>2.供应商所提供的产品的出厂日期不超过6个月；</w:t>
      </w:r>
    </w:p>
    <w:p>
      <w:pPr>
        <w:adjustRightInd w:val="0"/>
        <w:snapToGrid w:val="0"/>
        <w:spacing w:line="360" w:lineRule="auto"/>
        <w:ind w:left="357" w:leftChars="170"/>
        <w:rPr>
          <w:rFonts w:ascii="宋体" w:hAnsi="宋体" w:cs="宋体"/>
          <w:sz w:val="24"/>
        </w:rPr>
      </w:pPr>
      <w:r>
        <w:rPr>
          <w:rFonts w:hint="eastAsia" w:ascii="宋体" w:hAnsi="宋体"/>
          <w:sz w:val="24"/>
        </w:rPr>
        <w:t>3.供应商须提供完整的技术资料及质量保证书。</w:t>
      </w:r>
    </w:p>
    <w:p>
      <w:pPr>
        <w:spacing w:line="360" w:lineRule="auto"/>
        <w:rPr>
          <w:rFonts w:ascii="宋体" w:hAnsi="宋体" w:cs="宋体"/>
          <w:sz w:val="24"/>
        </w:rPr>
      </w:pPr>
      <w:r>
        <w:rPr>
          <w:rFonts w:hint="eastAsia" w:ascii="宋体" w:hAnsi="宋体" w:cs="宋体"/>
          <w:sz w:val="24"/>
        </w:rPr>
        <w:t>（八）安装调试及技术服务要求：卖家应提供产品设备的免费安装、调试及教学培训等服务。</w:t>
      </w:r>
    </w:p>
    <w:p>
      <w:pPr>
        <w:numPr>
          <w:ilvl w:val="255"/>
          <w:numId w:val="0"/>
        </w:numPr>
        <w:spacing w:line="360" w:lineRule="auto"/>
        <w:rPr>
          <w:rFonts w:ascii="宋体" w:hAnsi="宋体" w:cs="宋体"/>
          <w:sz w:val="24"/>
        </w:rPr>
      </w:pPr>
      <w:r>
        <w:rPr>
          <w:rFonts w:hint="eastAsia" w:ascii="宋体" w:hAnsi="宋体" w:cs="宋体"/>
          <w:sz w:val="24"/>
        </w:rPr>
        <w:t>（九）售后服务的要求：</w:t>
      </w:r>
    </w:p>
    <w:p>
      <w:pPr>
        <w:spacing w:line="360" w:lineRule="auto"/>
        <w:rPr>
          <w:rFonts w:ascii="宋体" w:hAnsi="宋体" w:cs="宋体"/>
          <w:sz w:val="24"/>
        </w:rPr>
      </w:pPr>
      <w:r>
        <w:rPr>
          <w:rFonts w:hint="eastAsia" w:ascii="宋体" w:hAnsi="宋体" w:cs="宋体"/>
          <w:sz w:val="24"/>
        </w:rPr>
        <w:t xml:space="preserve">    1.项目整体硬件质保期为</w:t>
      </w:r>
      <w:r>
        <w:rPr>
          <w:rFonts w:ascii="宋体" w:hAnsi="宋体" w:cs="宋体"/>
          <w:sz w:val="24"/>
          <w:u w:val="single"/>
        </w:rPr>
        <w:t>3</w:t>
      </w:r>
      <w:r>
        <w:rPr>
          <w:rFonts w:hint="eastAsia" w:ascii="宋体" w:hAnsi="宋体" w:cs="宋体"/>
          <w:sz w:val="24"/>
        </w:rPr>
        <w:t>年，软件质保期为</w:t>
      </w:r>
      <w:r>
        <w:rPr>
          <w:rFonts w:hint="eastAsia" w:ascii="宋体" w:hAnsi="宋体" w:cs="宋体"/>
          <w:sz w:val="24"/>
          <w:u w:val="single"/>
        </w:rPr>
        <w:t>1</w:t>
      </w:r>
      <w:r>
        <w:rPr>
          <w:rFonts w:hint="eastAsia" w:ascii="宋体" w:hAnsi="宋体" w:cs="宋体"/>
          <w:sz w:val="24"/>
        </w:rPr>
        <w:t>年。</w:t>
      </w:r>
    </w:p>
    <w:p>
      <w:pPr>
        <w:pStyle w:val="3"/>
        <w:spacing w:line="360" w:lineRule="auto"/>
        <w:ind w:firstLine="480"/>
        <w:rPr>
          <w:rFonts w:ascii="宋体" w:hAnsi="宋体" w:cs="宋体"/>
          <w:sz w:val="24"/>
        </w:rPr>
      </w:pPr>
      <w:r>
        <w:rPr>
          <w:rFonts w:hint="eastAsia" w:ascii="宋体" w:hAnsi="宋体" w:cs="宋体"/>
          <w:sz w:val="24"/>
        </w:rPr>
        <w:t>2.自买方验收产品合格后的</w:t>
      </w:r>
      <w:r>
        <w:rPr>
          <w:rFonts w:hint="eastAsia" w:ascii="宋体" w:hAnsi="宋体" w:cs="宋体"/>
          <w:sz w:val="24"/>
          <w:u w:val="single"/>
        </w:rPr>
        <w:t>1</w:t>
      </w:r>
      <w:r>
        <w:rPr>
          <w:rFonts w:hint="eastAsia" w:ascii="宋体" w:hAnsi="宋体" w:cs="宋体"/>
          <w:sz w:val="24"/>
        </w:rPr>
        <w:t>年内，除使用不当所造成的损坏以外的影响产品正常使用的质量问题，卖方应在收到买方通知后</w:t>
      </w:r>
      <w:r>
        <w:rPr>
          <w:rFonts w:hint="eastAsia" w:ascii="宋体" w:hAnsi="宋体" w:cs="宋体"/>
          <w:sz w:val="24"/>
          <w:u w:val="single"/>
        </w:rPr>
        <w:t>8</w:t>
      </w:r>
      <w:r>
        <w:rPr>
          <w:rFonts w:hint="eastAsia" w:ascii="宋体" w:hAnsi="宋体" w:cs="宋体"/>
          <w:sz w:val="24"/>
        </w:rPr>
        <w:t>小时之内进行响应并提出解决方案，问题严重时，卖方应在</w:t>
      </w:r>
      <w:r>
        <w:rPr>
          <w:rFonts w:hint="eastAsia" w:ascii="宋体" w:hAnsi="宋体" w:cs="宋体"/>
          <w:sz w:val="24"/>
          <w:u w:val="single"/>
        </w:rPr>
        <w:t>24</w:t>
      </w:r>
      <w:r>
        <w:rPr>
          <w:rFonts w:hint="eastAsia" w:ascii="宋体" w:hAnsi="宋体" w:cs="宋体"/>
          <w:sz w:val="24"/>
        </w:rPr>
        <w:t>小时内委派专业技术人员到达现场查看，</w:t>
      </w:r>
      <w:r>
        <w:rPr>
          <w:rFonts w:hint="eastAsia" w:ascii="宋体" w:hAnsi="宋体" w:cs="宋体"/>
          <w:sz w:val="24"/>
          <w:u w:val="single"/>
        </w:rPr>
        <w:t>48</w:t>
      </w:r>
      <w:r>
        <w:rPr>
          <w:rFonts w:hint="eastAsia" w:ascii="宋体" w:hAnsi="宋体" w:cs="宋体"/>
          <w:sz w:val="24"/>
        </w:rPr>
        <w:t>小时内免费负责修复或更换。</w:t>
      </w:r>
    </w:p>
    <w:p>
      <w:pPr>
        <w:pStyle w:val="4"/>
        <w:spacing w:line="360" w:lineRule="auto"/>
        <w:ind w:firstLine="480"/>
      </w:pPr>
      <w:r>
        <w:rPr>
          <w:rFonts w:hint="eastAsia" w:hAnsi="宋体" w:cs="宋体"/>
          <w:spacing w:val="0"/>
          <w:kern w:val="2"/>
        </w:rPr>
        <w:t>3.服务要求：要求</w:t>
      </w:r>
      <w:r>
        <w:rPr>
          <w:rFonts w:hint="eastAsia" w:hAnsi="宋体" w:cs="宋体"/>
          <w:spacing w:val="0"/>
          <w:kern w:val="2"/>
          <w:lang w:eastAsia="zh-CN"/>
        </w:rPr>
        <w:t>供应商</w:t>
      </w:r>
      <w:r>
        <w:rPr>
          <w:rFonts w:hint="eastAsia" w:hAnsi="宋体" w:cs="宋体"/>
          <w:spacing w:val="0"/>
          <w:kern w:val="2"/>
        </w:rPr>
        <w:t>为本项目供应的所有产品提供原厂三年硬件和一年软件免费质保服务，并由所有产品原厂商针对本项目出具的售后服务承诺函原件并加盖原厂公章。</w:t>
      </w:r>
    </w:p>
    <w:p>
      <w:pPr>
        <w:pStyle w:val="4"/>
        <w:spacing w:line="360" w:lineRule="auto"/>
        <w:ind w:firstLine="480"/>
      </w:pPr>
    </w:p>
    <w:p>
      <w:pPr>
        <w:spacing w:line="360" w:lineRule="auto"/>
        <w:rPr>
          <w:rFonts w:ascii="仿宋" w:hAnsi="仿宋" w:eastAsia="仿宋" w:cs="仿宋"/>
          <w:sz w:val="30"/>
          <w:szCs w:val="30"/>
        </w:rPr>
      </w:pPr>
      <w:r>
        <w:rPr>
          <w:rFonts w:ascii="仿宋" w:hAnsi="仿宋" w:eastAsia="仿宋" w:cs="仿宋"/>
          <w:sz w:val="30"/>
          <w:szCs w:val="30"/>
        </w:rPr>
        <w:br w:type="page"/>
      </w:r>
    </w:p>
    <w:p>
      <w:pPr>
        <w:spacing w:line="360" w:lineRule="auto"/>
        <w:jc w:val="center"/>
        <w:outlineLvl w:val="0"/>
        <w:rPr>
          <w:rFonts w:ascii="黑体" w:hAnsi="黑体" w:eastAsia="黑体" w:cs="仿宋"/>
          <w:b/>
          <w:color w:val="000000"/>
          <w:sz w:val="36"/>
          <w:szCs w:val="36"/>
        </w:rPr>
      </w:pPr>
      <w:bookmarkStart w:id="32" w:name="_Toc3928"/>
      <w:r>
        <w:rPr>
          <w:rFonts w:hint="eastAsia" w:ascii="黑体" w:hAnsi="黑体" w:eastAsia="黑体" w:cs="仿宋"/>
          <w:b/>
          <w:color w:val="000000"/>
          <w:sz w:val="36"/>
          <w:szCs w:val="36"/>
        </w:rPr>
        <w:t>第六章  响应文件格式</w:t>
      </w:r>
      <w:bookmarkEnd w:id="32"/>
    </w:p>
    <w:p>
      <w:pPr>
        <w:spacing w:line="360" w:lineRule="auto"/>
        <w:jc w:val="both"/>
        <w:rPr>
          <w:rFonts w:ascii="仿宋" w:hAnsi="仿宋" w:eastAsia="仿宋" w:cs="仿宋"/>
          <w:sz w:val="30"/>
          <w:szCs w:val="30"/>
        </w:rPr>
      </w:pPr>
    </w:p>
    <w:p>
      <w:pPr>
        <w:spacing w:line="360" w:lineRule="auto"/>
        <w:jc w:val="center"/>
        <w:outlineLvl w:val="0"/>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bookmarkStart w:id="33" w:name="_Toc20716"/>
      <w:r>
        <w:rPr>
          <w:rFonts w:hint="eastAsia" w:eastAsia="方正小标宋_GBK"/>
          <w:b/>
          <w:bCs/>
          <w:sz w:val="40"/>
          <w:szCs w:val="36"/>
        </w:rPr>
        <w:t>项目</w:t>
      </w:r>
      <w:bookmarkEnd w:id="33"/>
    </w:p>
    <w:p>
      <w:pPr>
        <w:widowControl w:val="0"/>
        <w:spacing w:before="240" w:beforeLines="100" w:after="240" w:afterLines="100" w:line="360" w:lineRule="auto"/>
        <w:jc w:val="center"/>
        <w:outlineLvl w:val="0"/>
        <w:rPr>
          <w:rFonts w:eastAsia="楷体_GB2312"/>
          <w:b/>
          <w:bCs/>
          <w:sz w:val="28"/>
          <w:szCs w:val="28"/>
        </w:rPr>
      </w:pPr>
      <w:bookmarkStart w:id="34" w:name="_Toc31832"/>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bookmarkEnd w:id="34"/>
    </w:p>
    <w:p>
      <w:pPr>
        <w:widowControl w:val="0"/>
        <w:adjustRightInd w:val="0"/>
        <w:snapToGrid w:val="0"/>
        <w:spacing w:line="360" w:lineRule="auto"/>
        <w:rPr>
          <w:b/>
        </w:rPr>
      </w:pPr>
    </w:p>
    <w:p>
      <w:pPr>
        <w:spacing w:line="360" w:lineRule="auto"/>
        <w:jc w:val="both"/>
        <w:rPr>
          <w:rFonts w:eastAsia="方正小标宋_GBK"/>
          <w:b/>
          <w:bCs/>
          <w:spacing w:val="160"/>
          <w:sz w:val="72"/>
          <w:szCs w:val="72"/>
        </w:rPr>
      </w:pPr>
    </w:p>
    <w:p>
      <w:pPr>
        <w:pStyle w:val="2"/>
      </w:pPr>
    </w:p>
    <w:p>
      <w:pPr>
        <w:pStyle w:val="2"/>
      </w:pPr>
    </w:p>
    <w:p>
      <w:pPr>
        <w:spacing w:line="360" w:lineRule="auto"/>
        <w:jc w:val="center"/>
        <w:outlineLvl w:val="0"/>
        <w:rPr>
          <w:sz w:val="26"/>
          <w:szCs w:val="26"/>
        </w:rPr>
      </w:pPr>
      <w:bookmarkStart w:id="35" w:name="_Toc8196"/>
      <w:r>
        <w:rPr>
          <w:rFonts w:hint="eastAsia" w:eastAsia="方正小标宋_GBK"/>
          <w:b/>
          <w:bCs/>
          <w:spacing w:val="160"/>
          <w:sz w:val="72"/>
          <w:szCs w:val="72"/>
        </w:rPr>
        <w:t>响应</w:t>
      </w:r>
      <w:r>
        <w:rPr>
          <w:rFonts w:eastAsia="方正小标宋_GBK"/>
          <w:b/>
          <w:bCs/>
          <w:spacing w:val="160"/>
          <w:sz w:val="72"/>
          <w:szCs w:val="72"/>
        </w:rPr>
        <w:t>文件</w:t>
      </w:r>
      <w:bookmarkEnd w:id="35"/>
    </w:p>
    <w:p>
      <w:pPr>
        <w:spacing w:line="360" w:lineRule="auto"/>
        <w:rPr>
          <w:sz w:val="26"/>
          <w:szCs w:val="26"/>
        </w:rPr>
      </w:pPr>
    </w:p>
    <w:p>
      <w:pPr>
        <w:spacing w:line="360" w:lineRule="auto"/>
        <w:rPr>
          <w:sz w:val="26"/>
          <w:szCs w:val="26"/>
        </w:rPr>
      </w:pPr>
    </w:p>
    <w:p>
      <w:pPr>
        <w:pStyle w:val="2"/>
        <w:rPr>
          <w:sz w:val="26"/>
          <w:szCs w:val="26"/>
        </w:rPr>
      </w:pPr>
    </w:p>
    <w:p>
      <w:pPr>
        <w:pStyle w:val="2"/>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jc w:val="center"/>
        <w:outlineLvl w:val="0"/>
        <w:rPr>
          <w:rFonts w:eastAsia="黑体"/>
          <w:bCs/>
          <w:sz w:val="30"/>
          <w:szCs w:val="30"/>
        </w:rPr>
      </w:pPr>
      <w:bookmarkStart w:id="36" w:name="_Toc8163"/>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全称并盖单位公章</w:t>
      </w:r>
      <w:bookmarkEnd w:id="36"/>
      <w:r>
        <w:rPr>
          <w:rFonts w:eastAsia="黑体"/>
          <w:bCs/>
          <w:sz w:val="30"/>
          <w:szCs w:val="30"/>
          <w:u w:val="single"/>
        </w:rPr>
        <w:t xml:space="preserve"> </w:t>
      </w:r>
    </w:p>
    <w:p>
      <w:pPr>
        <w:spacing w:line="360" w:lineRule="auto"/>
        <w:jc w:val="center"/>
        <w:outlineLvl w:val="0"/>
        <w:rPr>
          <w:rFonts w:eastAsia="黑体"/>
          <w:sz w:val="30"/>
          <w:szCs w:val="30"/>
        </w:rPr>
      </w:pPr>
      <w:bookmarkStart w:id="37" w:name="_Toc2448"/>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bookmarkEnd w:id="37"/>
    </w:p>
    <w:p>
      <w:pPr>
        <w:adjustRightInd w:val="0"/>
        <w:snapToGrid w:val="0"/>
        <w:spacing w:line="360" w:lineRule="auto"/>
        <w:jc w:val="center"/>
        <w:rPr>
          <w:rFonts w:ascii="黑体" w:hAnsi="黑体" w:eastAsia="黑体" w:cs="仿宋"/>
          <w:sz w:val="36"/>
          <w:szCs w:val="36"/>
        </w:rPr>
      </w:pPr>
    </w:p>
    <w:p>
      <w:pPr>
        <w:adjustRightInd w:val="0"/>
        <w:snapToGrid w:val="0"/>
        <w:spacing w:line="360" w:lineRule="auto"/>
        <w:jc w:val="center"/>
        <w:outlineLvl w:val="0"/>
        <w:rPr>
          <w:rFonts w:ascii="黑体" w:hAnsi="黑体" w:eastAsia="黑体" w:cs="仿宋"/>
          <w:sz w:val="40"/>
          <w:szCs w:val="40"/>
        </w:rPr>
      </w:pPr>
      <w:bookmarkStart w:id="38" w:name="_Toc21209"/>
      <w:r>
        <w:rPr>
          <w:rFonts w:hint="eastAsia" w:ascii="黑体" w:hAnsi="黑体" w:eastAsia="黑体" w:cs="仿宋"/>
          <w:sz w:val="40"/>
          <w:szCs w:val="40"/>
        </w:rPr>
        <w:t xml:space="preserve">目 </w:t>
      </w:r>
      <w:r>
        <w:rPr>
          <w:rFonts w:ascii="黑体" w:hAnsi="黑体" w:eastAsia="黑体" w:cs="仿宋"/>
          <w:sz w:val="40"/>
          <w:szCs w:val="40"/>
        </w:rPr>
        <w:t xml:space="preserve"> </w:t>
      </w:r>
      <w:r>
        <w:rPr>
          <w:rFonts w:hint="eastAsia" w:ascii="黑体" w:hAnsi="黑体" w:eastAsia="黑体" w:cs="仿宋"/>
          <w:sz w:val="40"/>
          <w:szCs w:val="40"/>
        </w:rPr>
        <w:t>录</w:t>
      </w:r>
      <w:bookmarkEnd w:id="38"/>
    </w:p>
    <w:p>
      <w:pPr>
        <w:adjustRightInd w:val="0"/>
        <w:snapToGrid w:val="0"/>
        <w:spacing w:line="360" w:lineRule="auto"/>
        <w:jc w:val="both"/>
        <w:rPr>
          <w:rFonts w:ascii="宋体" w:hAnsi="宋体" w:cs="仿宋"/>
          <w:sz w:val="36"/>
          <w:szCs w:val="36"/>
        </w:rPr>
      </w:pPr>
    </w:p>
    <w:p>
      <w:pPr>
        <w:adjustRightInd w:val="0"/>
        <w:snapToGrid w:val="0"/>
        <w:spacing w:line="360" w:lineRule="auto"/>
        <w:jc w:val="both"/>
        <w:outlineLvl w:val="0"/>
        <w:rPr>
          <w:rFonts w:ascii="宋体" w:hAnsi="宋体" w:cs="仿宋"/>
          <w:sz w:val="24"/>
        </w:rPr>
      </w:pPr>
      <w:bookmarkStart w:id="39" w:name="_Toc23934"/>
      <w:r>
        <w:rPr>
          <w:rFonts w:hint="eastAsia" w:ascii="宋体" w:hAnsi="宋体" w:cs="仿宋"/>
          <w:sz w:val="24"/>
        </w:rPr>
        <w:t>一、响应函</w:t>
      </w:r>
      <w:bookmarkEnd w:id="39"/>
    </w:p>
    <w:p>
      <w:pPr>
        <w:adjustRightInd w:val="0"/>
        <w:snapToGrid w:val="0"/>
        <w:spacing w:line="360" w:lineRule="auto"/>
        <w:jc w:val="both"/>
        <w:outlineLvl w:val="0"/>
      </w:pPr>
      <w:bookmarkStart w:id="40" w:name="_Toc23996"/>
      <w:r>
        <w:rPr>
          <w:rFonts w:hint="eastAsia" w:ascii="宋体" w:hAnsi="宋体" w:cs="仿宋"/>
          <w:sz w:val="24"/>
        </w:rPr>
        <w:t>二、授权委托书(适用于有委托代理人的情况)</w:t>
      </w:r>
      <w:bookmarkEnd w:id="40"/>
    </w:p>
    <w:p>
      <w:pPr>
        <w:adjustRightInd w:val="0"/>
        <w:snapToGrid w:val="0"/>
        <w:spacing w:line="360" w:lineRule="auto"/>
        <w:jc w:val="both"/>
        <w:outlineLvl w:val="0"/>
        <w:rPr>
          <w:rFonts w:ascii="宋体" w:hAnsi="宋体" w:cs="仿宋"/>
          <w:sz w:val="24"/>
        </w:rPr>
      </w:pPr>
      <w:bookmarkStart w:id="41" w:name="_Toc16749"/>
      <w:r>
        <w:rPr>
          <w:rFonts w:hint="eastAsia" w:ascii="宋体" w:hAnsi="宋体" w:cs="仿宋"/>
          <w:sz w:val="24"/>
        </w:rPr>
        <w:t>三、商务和技术偏差表</w:t>
      </w:r>
      <w:bookmarkEnd w:id="41"/>
    </w:p>
    <w:p>
      <w:pPr>
        <w:adjustRightInd w:val="0"/>
        <w:snapToGrid w:val="0"/>
        <w:spacing w:line="360" w:lineRule="auto"/>
        <w:jc w:val="both"/>
        <w:outlineLvl w:val="0"/>
        <w:rPr>
          <w:rFonts w:ascii="宋体" w:hAnsi="宋体" w:cs="仿宋"/>
          <w:sz w:val="24"/>
        </w:rPr>
      </w:pPr>
      <w:bookmarkStart w:id="42" w:name="_Toc23116"/>
      <w:r>
        <w:rPr>
          <w:rFonts w:hint="eastAsia" w:ascii="宋体" w:hAnsi="宋体" w:cs="仿宋"/>
          <w:sz w:val="24"/>
        </w:rPr>
        <w:t>四、报价表</w:t>
      </w:r>
      <w:bookmarkEnd w:id="42"/>
    </w:p>
    <w:p>
      <w:pPr>
        <w:adjustRightInd w:val="0"/>
        <w:snapToGrid w:val="0"/>
        <w:spacing w:line="360" w:lineRule="auto"/>
        <w:jc w:val="both"/>
        <w:outlineLvl w:val="0"/>
        <w:rPr>
          <w:rFonts w:ascii="宋体" w:hAnsi="宋体" w:cs="仿宋"/>
          <w:sz w:val="24"/>
        </w:rPr>
      </w:pPr>
      <w:bookmarkStart w:id="43" w:name="_Toc12364"/>
      <w:r>
        <w:rPr>
          <w:rFonts w:hint="eastAsia" w:ascii="宋体" w:hAnsi="宋体" w:cs="仿宋"/>
          <w:sz w:val="24"/>
        </w:rPr>
        <w:t>五、资格审查资料</w:t>
      </w:r>
      <w:bookmarkEnd w:id="43"/>
    </w:p>
    <w:p>
      <w:pPr>
        <w:adjustRightInd w:val="0"/>
        <w:snapToGrid w:val="0"/>
        <w:spacing w:line="360" w:lineRule="auto"/>
        <w:jc w:val="both"/>
        <w:outlineLvl w:val="0"/>
        <w:rPr>
          <w:rFonts w:ascii="宋体" w:hAnsi="宋体" w:cs="仿宋"/>
          <w:sz w:val="24"/>
        </w:rPr>
      </w:pPr>
      <w:bookmarkStart w:id="44" w:name="_Toc18209"/>
      <w:r>
        <w:rPr>
          <w:rFonts w:hint="eastAsia" w:ascii="宋体" w:hAnsi="宋体" w:cs="仿宋"/>
          <w:sz w:val="24"/>
        </w:rPr>
        <w:t>六、响应方案</w:t>
      </w:r>
      <w:bookmarkEnd w:id="44"/>
    </w:p>
    <w:p>
      <w:pPr>
        <w:adjustRightInd w:val="0"/>
        <w:snapToGrid w:val="0"/>
        <w:spacing w:line="360" w:lineRule="auto"/>
        <w:jc w:val="both"/>
        <w:outlineLvl w:val="0"/>
        <w:rPr>
          <w:rFonts w:ascii="宋体" w:hAnsi="宋体" w:cs="仿宋"/>
          <w:sz w:val="24"/>
        </w:rPr>
      </w:pPr>
      <w:bookmarkStart w:id="45" w:name="_Toc2071"/>
      <w:r>
        <w:rPr>
          <w:rFonts w:hint="eastAsia" w:ascii="宋体" w:hAnsi="宋体" w:cs="仿宋"/>
          <w:sz w:val="24"/>
        </w:rPr>
        <w:t>七、其他资料</w:t>
      </w:r>
      <w:bookmarkEnd w:id="45"/>
    </w:p>
    <w:p>
      <w:pPr>
        <w:spacing w:line="360" w:lineRule="auto"/>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7"/>
        </w:numPr>
        <w:adjustRightInd w:val="0"/>
        <w:snapToGrid w:val="0"/>
        <w:spacing w:line="360" w:lineRule="auto"/>
        <w:jc w:val="center"/>
        <w:outlineLvl w:val="0"/>
        <w:rPr>
          <w:rFonts w:ascii="黑体" w:hAnsi="黑体" w:eastAsia="黑体" w:cs="仿宋"/>
          <w:sz w:val="36"/>
          <w:szCs w:val="36"/>
        </w:rPr>
      </w:pPr>
      <w:bookmarkStart w:id="46" w:name="_Toc1282"/>
      <w:r>
        <w:rPr>
          <w:rFonts w:hint="eastAsia" w:ascii="黑体" w:hAnsi="黑体" w:eastAsia="黑体" w:cs="仿宋"/>
          <w:sz w:val="36"/>
          <w:szCs w:val="36"/>
        </w:rPr>
        <w:t>响应函</w:t>
      </w:r>
      <w:bookmarkEnd w:id="46"/>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)完成提供本项目货物，并按合同约定履行义务。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(3)商务和技术偏差表；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(4)报价表；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(5)资格审查资料；</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(6)响应方案；</w:t>
      </w:r>
    </w:p>
    <w:p>
      <w:pPr>
        <w:adjustRightInd w:val="0"/>
        <w:snapToGrid w:val="0"/>
        <w:spacing w:line="360" w:lineRule="auto"/>
        <w:jc w:val="both"/>
      </w:pPr>
      <w:r>
        <w:rPr>
          <w:rFonts w:hint="eastAsia" w:cs="仿宋" w:asciiTheme="minorEastAsia" w:hAnsiTheme="minorEastAsia" w:eastAsiaTheme="minorEastAsia"/>
          <w:sz w:val="24"/>
        </w:rPr>
        <w:t>(7)其他资料（如有）；</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响应文件的上述组成部分如存在内容不一致的，以响应函为准。</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8"/>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8"/>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(3)在合同约定的期限内完成合同规定的全部义务。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w:t>
      </w:r>
      <w:r>
        <w:rPr>
          <w:rFonts w:hint="eastAsia" w:cs="仿宋" w:asciiTheme="minorEastAsia" w:hAnsiTheme="minorEastAsia" w:eastAsiaTheme="minorEastAsia"/>
          <w:b/>
          <w:bCs/>
          <w:sz w:val="24"/>
        </w:rPr>
        <w:t>不存在第一章“采购公告”中规定的供应商不得存在的情形</w:t>
      </w:r>
      <w:r>
        <w:rPr>
          <w:rFonts w:hint="eastAsia" w:cs="仿宋" w:asciiTheme="minorEastAsia" w:hAnsiTheme="minorEastAsia" w:eastAsiaTheme="minorEastAsia"/>
          <w:sz w:val="24"/>
        </w:rPr>
        <w:t>。</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360" w:lineRule="auto"/>
        <w:jc w:val="both"/>
        <w:rPr>
          <w:rFonts w:cs="仿宋" w:asciiTheme="minorEastAsia" w:hAnsiTheme="minorEastAsia" w:eastAsiaTheme="minorEastAsia"/>
          <w:sz w:val="24"/>
        </w:rPr>
      </w:pPr>
    </w:p>
    <w:p>
      <w:pPr>
        <w:spacing w:line="360" w:lineRule="auto"/>
        <w:jc w:val="right"/>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rPr>
          <w:rFonts w:cs="宋体" w:asciiTheme="minorEastAsia" w:hAnsiTheme="minorEastAsia" w:eastAsiaTheme="minorEastAsia"/>
          <w:b/>
          <w:color w:val="000000"/>
          <w:kern w:val="0"/>
          <w:sz w:val="36"/>
          <w:szCs w:val="36"/>
        </w:rPr>
      </w:pPr>
      <w:r>
        <w:rPr>
          <w:rFonts w:hint="eastAsia" w:cs="宋体" w:asciiTheme="minorEastAsia" w:hAnsiTheme="minorEastAsia" w:eastAsiaTheme="minorEastAsia"/>
          <w:b/>
          <w:color w:val="000000"/>
          <w:kern w:val="0"/>
          <w:sz w:val="36"/>
          <w:szCs w:val="36"/>
        </w:rPr>
        <w:br w:type="page"/>
      </w:r>
    </w:p>
    <w:p>
      <w:pPr>
        <w:spacing w:line="360" w:lineRule="auto"/>
        <w:jc w:val="center"/>
        <w:rPr>
          <w:rFonts w:asciiTheme="minorEastAsia" w:hAnsiTheme="minorEastAsia" w:eastAsiaTheme="minorEastAsia"/>
          <w:color w:val="000000"/>
          <w:sz w:val="24"/>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2880" w:firstLineChars="12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jc w:val="center"/>
        <w:outlineLvl w:val="0"/>
        <w:rPr>
          <w:rFonts w:ascii="黑体" w:hAnsi="黑体" w:eastAsia="黑体" w:cs="仿宋"/>
          <w:sz w:val="36"/>
          <w:szCs w:val="36"/>
        </w:rPr>
      </w:pPr>
      <w:r>
        <w:rPr>
          <w:rFonts w:hint="eastAsia" w:cs="仿宋" w:asciiTheme="minorEastAsia" w:hAnsiTheme="minorEastAsia" w:eastAsiaTheme="minorEastAsia"/>
          <w:sz w:val="24"/>
        </w:rPr>
        <w:br w:type="page"/>
      </w:r>
      <w:bookmarkStart w:id="47" w:name="_Toc7753"/>
      <w:r>
        <w:rPr>
          <w:rFonts w:hint="eastAsia" w:ascii="黑体" w:hAnsi="黑体" w:eastAsia="黑体" w:cs="仿宋"/>
          <w:sz w:val="36"/>
          <w:szCs w:val="36"/>
        </w:rPr>
        <w:t>二、授权委托书</w:t>
      </w:r>
      <w:bookmarkEnd w:id="47"/>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(适用于有委托代理人的情况)</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right"/>
        <w:rPr>
          <w:rFonts w:cs="仿宋" w:asciiTheme="minorEastAsia" w:hAnsiTheme="minorEastAsia" w:eastAsiaTheme="minorEastAsia"/>
          <w:sz w:val="24"/>
        </w:rPr>
      </w:pPr>
      <w:r>
        <w:rPr>
          <w:rFonts w:hint="eastAsia" w:cs="仿宋" w:asciiTheme="minorEastAsia" w:hAnsiTheme="minorEastAsia" w:eastAsiaTheme="minorEastAsia"/>
          <w:sz w:val="24"/>
        </w:rPr>
        <w:t>年   月   日</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360" w:lineRule="auto"/>
        <w:jc w:val="center"/>
        <w:outlineLvl w:val="0"/>
        <w:rPr>
          <w:rFonts w:ascii="黑体" w:hAnsi="黑体" w:eastAsia="黑体" w:cs="仿宋"/>
          <w:sz w:val="36"/>
          <w:szCs w:val="36"/>
        </w:rPr>
      </w:pPr>
      <w:bookmarkStart w:id="48" w:name="_Toc29706"/>
      <w:r>
        <w:rPr>
          <w:rFonts w:hint="eastAsia" w:ascii="黑体" w:hAnsi="黑体" w:eastAsia="黑体" w:cs="仿宋"/>
          <w:sz w:val="36"/>
          <w:szCs w:val="36"/>
        </w:rPr>
        <w:t>三、商务和技术偏差表</w:t>
      </w:r>
      <w:bookmarkEnd w:id="48"/>
    </w:p>
    <w:p>
      <w:pPr>
        <w:spacing w:line="360" w:lineRule="auto"/>
        <w:jc w:val="center"/>
        <w:rPr>
          <w:rFonts w:cs="仿宋" w:asciiTheme="minorEastAsia" w:hAnsiTheme="minorEastAsia" w:eastAsiaTheme="minorEastAsia"/>
          <w:sz w:val="24"/>
        </w:rPr>
      </w:pPr>
    </w:p>
    <w:tbl>
      <w:tblPr>
        <w:tblStyle w:val="40"/>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809"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56"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175"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360" w:lineRule="auto"/>
              <w:jc w:val="both"/>
              <w:rPr>
                <w:rFonts w:cs="仿宋" w:asciiTheme="minorEastAsia" w:hAnsiTheme="minorEastAsia" w:eastAsiaTheme="minorEastAsia"/>
                <w:sz w:val="24"/>
              </w:rPr>
            </w:pPr>
          </w:p>
        </w:tc>
        <w:tc>
          <w:tcPr>
            <w:tcW w:w="2809" w:type="dxa"/>
          </w:tcPr>
          <w:p>
            <w:pPr>
              <w:widowControl/>
              <w:spacing w:line="360" w:lineRule="auto"/>
              <w:jc w:val="both"/>
              <w:rPr>
                <w:rFonts w:cs="仿宋" w:asciiTheme="minorEastAsia" w:hAnsiTheme="minorEastAsia" w:eastAsiaTheme="minorEastAsia"/>
                <w:sz w:val="24"/>
              </w:rPr>
            </w:pPr>
          </w:p>
        </w:tc>
        <w:tc>
          <w:tcPr>
            <w:tcW w:w="2656" w:type="dxa"/>
          </w:tcPr>
          <w:p>
            <w:pPr>
              <w:widowControl/>
              <w:spacing w:line="360" w:lineRule="auto"/>
              <w:jc w:val="both"/>
              <w:rPr>
                <w:rFonts w:cs="仿宋" w:asciiTheme="minorEastAsia" w:hAnsiTheme="minorEastAsia" w:eastAsiaTheme="minorEastAsia"/>
                <w:sz w:val="24"/>
              </w:rPr>
            </w:pPr>
          </w:p>
        </w:tc>
        <w:tc>
          <w:tcPr>
            <w:tcW w:w="2175"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360" w:lineRule="auto"/>
              <w:jc w:val="both"/>
              <w:rPr>
                <w:rFonts w:cs="仿宋" w:asciiTheme="minorEastAsia" w:hAnsiTheme="minorEastAsia" w:eastAsiaTheme="minorEastAsia"/>
                <w:sz w:val="24"/>
              </w:rPr>
            </w:pPr>
          </w:p>
        </w:tc>
        <w:tc>
          <w:tcPr>
            <w:tcW w:w="2809" w:type="dxa"/>
          </w:tcPr>
          <w:p>
            <w:pPr>
              <w:widowControl/>
              <w:spacing w:line="360" w:lineRule="auto"/>
              <w:jc w:val="both"/>
              <w:rPr>
                <w:rFonts w:cs="仿宋" w:asciiTheme="minorEastAsia" w:hAnsiTheme="minorEastAsia" w:eastAsiaTheme="minorEastAsia"/>
                <w:sz w:val="24"/>
              </w:rPr>
            </w:pPr>
          </w:p>
        </w:tc>
        <w:tc>
          <w:tcPr>
            <w:tcW w:w="2656" w:type="dxa"/>
          </w:tcPr>
          <w:p>
            <w:pPr>
              <w:widowControl/>
              <w:spacing w:line="360" w:lineRule="auto"/>
              <w:jc w:val="both"/>
              <w:rPr>
                <w:rFonts w:cs="仿宋" w:asciiTheme="minorEastAsia" w:hAnsiTheme="minorEastAsia" w:eastAsiaTheme="minorEastAsia"/>
                <w:sz w:val="24"/>
              </w:rPr>
            </w:pPr>
          </w:p>
        </w:tc>
        <w:tc>
          <w:tcPr>
            <w:tcW w:w="2175"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vAlign w:val="center"/>
          </w:tcPr>
          <w:p>
            <w:pPr>
              <w:widowControl/>
              <w:spacing w:line="360" w:lineRule="auto"/>
              <w:jc w:val="center"/>
              <w:rPr>
                <w:rFonts w:cs="仿宋" w:asciiTheme="minorEastAsia" w:hAnsiTheme="minorEastAsia" w:eastAsiaTheme="minorEastAsia"/>
                <w:sz w:val="24"/>
              </w:rPr>
            </w:pPr>
          </w:p>
        </w:tc>
        <w:tc>
          <w:tcPr>
            <w:tcW w:w="2809" w:type="dxa"/>
            <w:vAlign w:val="center"/>
          </w:tcPr>
          <w:p>
            <w:pPr>
              <w:widowControl/>
              <w:spacing w:line="360" w:lineRule="auto"/>
              <w:jc w:val="center"/>
              <w:rPr>
                <w:rFonts w:cs="仿宋" w:asciiTheme="minorEastAsia" w:hAnsiTheme="minorEastAsia" w:eastAsiaTheme="minorEastAsia"/>
                <w:sz w:val="24"/>
              </w:rPr>
            </w:pPr>
          </w:p>
        </w:tc>
        <w:tc>
          <w:tcPr>
            <w:tcW w:w="2656" w:type="dxa"/>
            <w:vAlign w:val="center"/>
          </w:tcPr>
          <w:p>
            <w:pPr>
              <w:widowControl/>
              <w:spacing w:line="360" w:lineRule="auto"/>
              <w:jc w:val="center"/>
              <w:rPr>
                <w:rFonts w:cs="仿宋" w:asciiTheme="minorEastAsia" w:hAnsiTheme="minorEastAsia" w:eastAsiaTheme="minorEastAsia"/>
                <w:sz w:val="24"/>
              </w:rPr>
            </w:pPr>
          </w:p>
        </w:tc>
        <w:tc>
          <w:tcPr>
            <w:tcW w:w="2175" w:type="dxa"/>
            <w:vAlign w:val="center"/>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vAlign w:val="center"/>
          </w:tcPr>
          <w:p>
            <w:pPr>
              <w:widowControl/>
              <w:spacing w:line="360" w:lineRule="auto"/>
              <w:jc w:val="center"/>
              <w:rPr>
                <w:rFonts w:cs="仿宋" w:asciiTheme="minorEastAsia" w:hAnsiTheme="minorEastAsia" w:eastAsiaTheme="minorEastAsia"/>
                <w:sz w:val="24"/>
              </w:rPr>
            </w:pPr>
          </w:p>
        </w:tc>
        <w:tc>
          <w:tcPr>
            <w:tcW w:w="2809" w:type="dxa"/>
            <w:vAlign w:val="center"/>
          </w:tcPr>
          <w:p>
            <w:pPr>
              <w:widowControl/>
              <w:spacing w:line="360" w:lineRule="auto"/>
              <w:jc w:val="center"/>
              <w:rPr>
                <w:rFonts w:cs="仿宋" w:asciiTheme="minorEastAsia" w:hAnsiTheme="minorEastAsia" w:eastAsiaTheme="minorEastAsia"/>
                <w:sz w:val="24"/>
              </w:rPr>
            </w:pPr>
          </w:p>
        </w:tc>
        <w:tc>
          <w:tcPr>
            <w:tcW w:w="2656" w:type="dxa"/>
            <w:vAlign w:val="center"/>
          </w:tcPr>
          <w:p>
            <w:pPr>
              <w:widowControl/>
              <w:spacing w:line="360" w:lineRule="auto"/>
              <w:jc w:val="center"/>
              <w:rPr>
                <w:rFonts w:cs="仿宋" w:asciiTheme="minorEastAsia" w:hAnsiTheme="minorEastAsia" w:eastAsiaTheme="minorEastAsia"/>
                <w:sz w:val="24"/>
              </w:rPr>
            </w:pPr>
          </w:p>
        </w:tc>
        <w:tc>
          <w:tcPr>
            <w:tcW w:w="2175" w:type="dxa"/>
            <w:vAlign w:val="center"/>
          </w:tcPr>
          <w:p>
            <w:pPr>
              <w:widowControl/>
              <w:spacing w:line="360" w:lineRule="auto"/>
              <w:jc w:val="center"/>
              <w:rPr>
                <w:rFonts w:cs="仿宋"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360" w:lineRule="auto"/>
        <w:rPr>
          <w:rFonts w:ascii="黑体" w:hAnsi="黑体" w:eastAsia="黑体" w:cs="仿宋"/>
          <w:color w:val="FF0000"/>
          <w:sz w:val="36"/>
          <w:szCs w:val="36"/>
        </w:rPr>
      </w:pPr>
      <w:r>
        <w:rPr>
          <w:rFonts w:hint="eastAsia" w:ascii="黑体" w:hAnsi="黑体" w:eastAsia="黑体" w:cs="仿宋"/>
          <w:sz w:val="36"/>
          <w:szCs w:val="36"/>
        </w:rPr>
        <w:br w:type="page"/>
      </w:r>
    </w:p>
    <w:p>
      <w:pPr>
        <w:spacing w:line="360" w:lineRule="auto"/>
        <w:ind w:left="420"/>
        <w:jc w:val="center"/>
        <w:outlineLvl w:val="0"/>
        <w:rPr>
          <w:rFonts w:ascii="黑体" w:hAnsi="黑体" w:eastAsia="黑体" w:cs="仿宋"/>
          <w:sz w:val="36"/>
          <w:szCs w:val="36"/>
        </w:rPr>
      </w:pPr>
      <w:bookmarkStart w:id="49" w:name="_Toc22774"/>
      <w:r>
        <w:rPr>
          <w:rFonts w:hint="eastAsia" w:ascii="黑体" w:hAnsi="黑体" w:eastAsia="黑体" w:cs="仿宋"/>
          <w:sz w:val="36"/>
          <w:szCs w:val="36"/>
        </w:rPr>
        <w:t>四、报价表</w:t>
      </w:r>
      <w:bookmarkEnd w:id="49"/>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1.报价表说明</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2.报价表</w:t>
      </w:r>
    </w:p>
    <w:tbl>
      <w:tblPr>
        <w:tblStyle w:val="40"/>
        <w:tblW w:w="9073"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302"/>
        <w:gridCol w:w="1769"/>
        <w:gridCol w:w="633"/>
        <w:gridCol w:w="744"/>
        <w:gridCol w:w="803"/>
        <w:gridCol w:w="1170"/>
        <w:gridCol w:w="117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531"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302"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产品</w:t>
            </w:r>
          </w:p>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名称</w:t>
            </w:r>
          </w:p>
        </w:tc>
        <w:tc>
          <w:tcPr>
            <w:tcW w:w="1769"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规格</w:t>
            </w:r>
          </w:p>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型号</w:t>
            </w:r>
          </w:p>
        </w:tc>
        <w:tc>
          <w:tcPr>
            <w:tcW w:w="633"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单位</w:t>
            </w:r>
          </w:p>
        </w:tc>
        <w:tc>
          <w:tcPr>
            <w:tcW w:w="744"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数量</w:t>
            </w:r>
          </w:p>
        </w:tc>
        <w:tc>
          <w:tcPr>
            <w:tcW w:w="803"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税率</w:t>
            </w:r>
          </w:p>
        </w:tc>
        <w:tc>
          <w:tcPr>
            <w:tcW w:w="1170"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含税</w:t>
            </w:r>
          </w:p>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单价</w:t>
            </w:r>
          </w:p>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（元）</w:t>
            </w:r>
          </w:p>
          <w:p>
            <w:pPr>
              <w:widowControl/>
              <w:spacing w:line="360" w:lineRule="auto"/>
              <w:jc w:val="center"/>
              <w:rPr>
                <w:rFonts w:cs="仿宋" w:asciiTheme="minorEastAsia" w:hAnsiTheme="minorEastAsia" w:eastAsiaTheme="minorEastAsia"/>
                <w:sz w:val="24"/>
              </w:rPr>
            </w:pPr>
          </w:p>
        </w:tc>
        <w:tc>
          <w:tcPr>
            <w:tcW w:w="1170"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含税</w:t>
            </w:r>
          </w:p>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合价</w:t>
            </w:r>
          </w:p>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（元）</w:t>
            </w:r>
          </w:p>
          <w:p>
            <w:pPr>
              <w:widowControl/>
              <w:spacing w:line="360" w:lineRule="auto"/>
              <w:jc w:val="center"/>
              <w:rPr>
                <w:rFonts w:cs="仿宋" w:asciiTheme="minorEastAsia" w:hAnsiTheme="minorEastAsia" w:eastAsiaTheme="minorEastAsia"/>
                <w:sz w:val="24"/>
              </w:rPr>
            </w:pPr>
          </w:p>
        </w:tc>
        <w:tc>
          <w:tcPr>
            <w:tcW w:w="951"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531"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302" w:type="dxa"/>
            <w:vAlign w:val="center"/>
          </w:tcPr>
          <w:p>
            <w:pPr>
              <w:widowControl w:val="0"/>
              <w:spacing w:line="360" w:lineRule="auto"/>
              <w:jc w:val="center"/>
              <w:rPr>
                <w:rFonts w:ascii="Calibri" w:hAnsi="Calibri"/>
                <w:kern w:val="0"/>
                <w:szCs w:val="21"/>
                <w:lang w:eastAsia="zh-Hans"/>
              </w:rPr>
            </w:pPr>
            <w:r>
              <w:rPr>
                <w:rFonts w:hint="eastAsia" w:ascii="Calibri" w:hAnsi="Calibri"/>
                <w:kern w:val="0"/>
                <w:szCs w:val="21"/>
                <w:lang w:eastAsia="zh-Hans"/>
              </w:rPr>
              <w:t>信息化故障检测系统</w:t>
            </w:r>
          </w:p>
        </w:tc>
        <w:tc>
          <w:tcPr>
            <w:tcW w:w="1769" w:type="dxa"/>
            <w:vAlign w:val="center"/>
          </w:tcPr>
          <w:p>
            <w:pPr>
              <w:widowControl/>
              <w:spacing w:line="360" w:lineRule="auto"/>
              <w:jc w:val="center"/>
              <w:rPr>
                <w:rFonts w:cs="仿宋" w:asciiTheme="minorEastAsia" w:hAnsiTheme="minorEastAsia" w:eastAsiaTheme="minorEastAsia"/>
                <w:sz w:val="24"/>
              </w:rPr>
            </w:pPr>
          </w:p>
        </w:tc>
        <w:tc>
          <w:tcPr>
            <w:tcW w:w="633" w:type="dxa"/>
            <w:vAlign w:val="center"/>
          </w:tcPr>
          <w:p>
            <w:pPr>
              <w:widowControl w:val="0"/>
              <w:spacing w:line="360" w:lineRule="auto"/>
              <w:jc w:val="center"/>
              <w:rPr>
                <w:rFonts w:ascii="宋体" w:hAnsi="宋体"/>
                <w:bCs/>
                <w:kern w:val="0"/>
                <w:sz w:val="20"/>
                <w:szCs w:val="20"/>
                <w:lang w:eastAsia="zh-Hans"/>
              </w:rPr>
            </w:pPr>
            <w:r>
              <w:rPr>
                <w:rFonts w:hint="eastAsia" w:ascii="宋体" w:hAnsi="宋体"/>
                <w:bCs/>
                <w:kern w:val="0"/>
                <w:sz w:val="20"/>
                <w:szCs w:val="20"/>
                <w:lang w:eastAsia="zh-Hans"/>
              </w:rPr>
              <w:t>套</w:t>
            </w:r>
          </w:p>
        </w:tc>
        <w:tc>
          <w:tcPr>
            <w:tcW w:w="744" w:type="dxa"/>
            <w:vAlign w:val="center"/>
          </w:tcPr>
          <w:p>
            <w:pPr>
              <w:widowControl w:val="0"/>
              <w:spacing w:line="360" w:lineRule="auto"/>
              <w:jc w:val="center"/>
              <w:rPr>
                <w:rFonts w:ascii="宋体" w:hAnsi="宋体"/>
                <w:bCs/>
                <w:kern w:val="0"/>
                <w:sz w:val="20"/>
                <w:szCs w:val="20"/>
              </w:rPr>
            </w:pPr>
            <w:r>
              <w:rPr>
                <w:rFonts w:ascii="宋体" w:hAnsi="宋体"/>
                <w:bCs/>
                <w:kern w:val="0"/>
                <w:sz w:val="20"/>
                <w:szCs w:val="20"/>
              </w:rPr>
              <w:t>1</w:t>
            </w:r>
          </w:p>
        </w:tc>
        <w:tc>
          <w:tcPr>
            <w:tcW w:w="803" w:type="dxa"/>
            <w:vAlign w:val="center"/>
          </w:tcPr>
          <w:p>
            <w:pPr>
              <w:widowControl/>
              <w:spacing w:line="360" w:lineRule="auto"/>
              <w:jc w:val="center"/>
              <w:rPr>
                <w:rFonts w:cs="仿宋" w:asciiTheme="minorEastAsia" w:hAnsiTheme="minorEastAsia" w:eastAsiaTheme="minorEastAsia"/>
                <w:sz w:val="24"/>
              </w:rPr>
            </w:pPr>
          </w:p>
        </w:tc>
        <w:tc>
          <w:tcPr>
            <w:tcW w:w="1170" w:type="dxa"/>
            <w:vAlign w:val="center"/>
          </w:tcPr>
          <w:p>
            <w:pPr>
              <w:widowControl/>
              <w:spacing w:line="360" w:lineRule="auto"/>
              <w:jc w:val="center"/>
              <w:rPr>
                <w:rFonts w:cs="仿宋" w:asciiTheme="minorEastAsia" w:hAnsiTheme="minorEastAsia" w:eastAsiaTheme="minorEastAsia"/>
                <w:sz w:val="24"/>
              </w:rPr>
            </w:pPr>
          </w:p>
        </w:tc>
        <w:tc>
          <w:tcPr>
            <w:tcW w:w="1170" w:type="dxa"/>
            <w:vAlign w:val="center"/>
          </w:tcPr>
          <w:p>
            <w:pPr>
              <w:widowControl/>
              <w:spacing w:line="360" w:lineRule="auto"/>
              <w:jc w:val="center"/>
              <w:rPr>
                <w:rFonts w:cs="仿宋" w:asciiTheme="minorEastAsia" w:hAnsiTheme="minorEastAsia" w:eastAsiaTheme="minorEastAsia"/>
                <w:sz w:val="24"/>
              </w:rPr>
            </w:pPr>
          </w:p>
        </w:tc>
        <w:tc>
          <w:tcPr>
            <w:tcW w:w="951" w:type="dxa"/>
            <w:vAlign w:val="center"/>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31" w:type="dxa"/>
            <w:vAlign w:val="center"/>
          </w:tcPr>
          <w:p>
            <w:pPr>
              <w:widowControl/>
              <w:spacing w:line="360" w:lineRule="auto"/>
              <w:jc w:val="center"/>
              <w:rPr>
                <w:rFonts w:hint="eastAsia"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rPr>
              <w:t>2</w:t>
            </w:r>
          </w:p>
        </w:tc>
        <w:tc>
          <w:tcPr>
            <w:tcW w:w="1302" w:type="dxa"/>
            <w:vAlign w:val="center"/>
          </w:tcPr>
          <w:p>
            <w:pPr>
              <w:widowControl w:val="0"/>
              <w:spacing w:line="360" w:lineRule="auto"/>
              <w:jc w:val="center"/>
              <w:rPr>
                <w:rFonts w:hint="eastAsia" w:ascii="Calibri" w:hAnsi="Calibri" w:eastAsia="宋体" w:cs="Times New Roman"/>
                <w:kern w:val="0"/>
                <w:sz w:val="21"/>
                <w:szCs w:val="21"/>
                <w:lang w:val="en-US" w:eastAsia="zh-Hans" w:bidi="ar-SA"/>
              </w:rPr>
            </w:pPr>
            <w:r>
              <w:rPr>
                <w:rFonts w:hint="eastAsia" w:ascii="Calibri" w:hAnsi="Calibri"/>
                <w:kern w:val="0"/>
                <w:szCs w:val="21"/>
                <w:lang w:eastAsia="zh-Hans"/>
              </w:rPr>
              <w:t>服务器</w:t>
            </w:r>
          </w:p>
        </w:tc>
        <w:tc>
          <w:tcPr>
            <w:tcW w:w="1769" w:type="dxa"/>
            <w:vAlign w:val="center"/>
          </w:tcPr>
          <w:p>
            <w:pPr>
              <w:widowControl/>
              <w:spacing w:line="360" w:lineRule="auto"/>
              <w:jc w:val="center"/>
              <w:rPr>
                <w:rFonts w:cs="仿宋" w:asciiTheme="minorEastAsia" w:hAnsiTheme="minorEastAsia" w:eastAsiaTheme="minorEastAsia"/>
                <w:kern w:val="2"/>
                <w:sz w:val="24"/>
                <w:szCs w:val="24"/>
                <w:lang w:val="en-US" w:eastAsia="zh-CN" w:bidi="ar-SA"/>
              </w:rPr>
            </w:pPr>
          </w:p>
        </w:tc>
        <w:tc>
          <w:tcPr>
            <w:tcW w:w="633" w:type="dxa"/>
            <w:vAlign w:val="center"/>
          </w:tcPr>
          <w:p>
            <w:pPr>
              <w:widowControl w:val="0"/>
              <w:spacing w:line="360" w:lineRule="auto"/>
              <w:jc w:val="center"/>
              <w:rPr>
                <w:rFonts w:hint="eastAsia" w:ascii="Calibri" w:hAnsi="Calibri" w:eastAsia="宋体" w:cs="Times New Roman"/>
                <w:kern w:val="0"/>
                <w:sz w:val="21"/>
                <w:szCs w:val="21"/>
                <w:lang w:val="en-US" w:eastAsia="zh-CN" w:bidi="ar-SA"/>
              </w:rPr>
            </w:pPr>
            <w:r>
              <w:rPr>
                <w:rFonts w:hint="eastAsia" w:ascii="Calibri" w:hAnsi="Calibri"/>
                <w:kern w:val="0"/>
                <w:szCs w:val="21"/>
              </w:rPr>
              <w:t>台</w:t>
            </w:r>
          </w:p>
        </w:tc>
        <w:tc>
          <w:tcPr>
            <w:tcW w:w="744" w:type="dxa"/>
            <w:vAlign w:val="center"/>
          </w:tcPr>
          <w:p>
            <w:pPr>
              <w:widowControl w:val="0"/>
              <w:spacing w:line="360" w:lineRule="auto"/>
              <w:jc w:val="center"/>
              <w:rPr>
                <w:rFonts w:hint="eastAsia" w:ascii="Calibri" w:hAnsi="Calibri" w:eastAsia="宋体" w:cs="Times New Roman"/>
                <w:kern w:val="0"/>
                <w:sz w:val="21"/>
                <w:szCs w:val="21"/>
                <w:lang w:val="en-US" w:eastAsia="zh-CN" w:bidi="ar-SA"/>
              </w:rPr>
            </w:pPr>
            <w:r>
              <w:rPr>
                <w:rFonts w:hint="eastAsia" w:ascii="Calibri" w:hAnsi="Calibri"/>
                <w:kern w:val="0"/>
                <w:szCs w:val="21"/>
              </w:rPr>
              <w:t>1</w:t>
            </w:r>
          </w:p>
        </w:tc>
        <w:tc>
          <w:tcPr>
            <w:tcW w:w="803" w:type="dxa"/>
            <w:vAlign w:val="center"/>
          </w:tcPr>
          <w:p>
            <w:pPr>
              <w:widowControl/>
              <w:spacing w:line="360" w:lineRule="auto"/>
              <w:jc w:val="center"/>
              <w:rPr>
                <w:rFonts w:cs="仿宋" w:asciiTheme="minorEastAsia" w:hAnsiTheme="minorEastAsia" w:eastAsiaTheme="minorEastAsia"/>
                <w:sz w:val="24"/>
              </w:rPr>
            </w:pPr>
          </w:p>
        </w:tc>
        <w:tc>
          <w:tcPr>
            <w:tcW w:w="1170" w:type="dxa"/>
            <w:vAlign w:val="center"/>
          </w:tcPr>
          <w:p>
            <w:pPr>
              <w:widowControl/>
              <w:spacing w:line="360" w:lineRule="auto"/>
              <w:jc w:val="center"/>
              <w:rPr>
                <w:rFonts w:cs="仿宋" w:asciiTheme="minorEastAsia" w:hAnsiTheme="minorEastAsia" w:eastAsiaTheme="minorEastAsia"/>
                <w:sz w:val="24"/>
              </w:rPr>
            </w:pPr>
          </w:p>
        </w:tc>
        <w:tc>
          <w:tcPr>
            <w:tcW w:w="1170" w:type="dxa"/>
            <w:vAlign w:val="center"/>
          </w:tcPr>
          <w:p>
            <w:pPr>
              <w:widowControl/>
              <w:spacing w:line="360" w:lineRule="auto"/>
              <w:jc w:val="center"/>
              <w:rPr>
                <w:rFonts w:cs="仿宋" w:asciiTheme="minorEastAsia" w:hAnsiTheme="minorEastAsia" w:eastAsiaTheme="minorEastAsia"/>
                <w:sz w:val="24"/>
              </w:rPr>
            </w:pPr>
          </w:p>
        </w:tc>
        <w:tc>
          <w:tcPr>
            <w:tcW w:w="951" w:type="dxa"/>
            <w:vAlign w:val="center"/>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31" w:type="dxa"/>
            <w:vAlign w:val="center"/>
          </w:tcPr>
          <w:p>
            <w:pPr>
              <w:widowControl/>
              <w:spacing w:line="360" w:lineRule="auto"/>
              <w:jc w:val="center"/>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w:t>
            </w:r>
          </w:p>
        </w:tc>
        <w:tc>
          <w:tcPr>
            <w:tcW w:w="1302" w:type="dxa"/>
            <w:vAlign w:val="center"/>
          </w:tcPr>
          <w:p>
            <w:pPr>
              <w:widowControl w:val="0"/>
              <w:spacing w:line="360" w:lineRule="auto"/>
              <w:jc w:val="center"/>
              <w:rPr>
                <w:rFonts w:ascii="Calibri" w:hAnsi="Calibri"/>
                <w:kern w:val="0"/>
                <w:szCs w:val="21"/>
                <w:lang w:eastAsia="zh-Hans"/>
              </w:rPr>
            </w:pPr>
          </w:p>
        </w:tc>
        <w:tc>
          <w:tcPr>
            <w:tcW w:w="1769" w:type="dxa"/>
            <w:vAlign w:val="center"/>
          </w:tcPr>
          <w:p>
            <w:pPr>
              <w:widowControl/>
              <w:spacing w:line="360" w:lineRule="auto"/>
              <w:jc w:val="center"/>
              <w:rPr>
                <w:rFonts w:cs="仿宋" w:asciiTheme="minorEastAsia" w:hAnsiTheme="minorEastAsia" w:eastAsiaTheme="minorEastAsia"/>
                <w:sz w:val="24"/>
              </w:rPr>
            </w:pPr>
          </w:p>
        </w:tc>
        <w:tc>
          <w:tcPr>
            <w:tcW w:w="633" w:type="dxa"/>
            <w:vAlign w:val="center"/>
          </w:tcPr>
          <w:p>
            <w:pPr>
              <w:widowControl w:val="0"/>
              <w:spacing w:line="360" w:lineRule="auto"/>
              <w:jc w:val="center"/>
              <w:rPr>
                <w:rFonts w:ascii="Calibri" w:hAnsi="Calibri"/>
                <w:kern w:val="0"/>
                <w:szCs w:val="21"/>
              </w:rPr>
            </w:pPr>
          </w:p>
        </w:tc>
        <w:tc>
          <w:tcPr>
            <w:tcW w:w="744" w:type="dxa"/>
            <w:vAlign w:val="center"/>
          </w:tcPr>
          <w:p>
            <w:pPr>
              <w:widowControl w:val="0"/>
              <w:spacing w:line="360" w:lineRule="auto"/>
              <w:jc w:val="center"/>
              <w:rPr>
                <w:rFonts w:ascii="Calibri" w:hAnsi="Calibri"/>
                <w:kern w:val="0"/>
                <w:szCs w:val="21"/>
              </w:rPr>
            </w:pPr>
          </w:p>
        </w:tc>
        <w:tc>
          <w:tcPr>
            <w:tcW w:w="803" w:type="dxa"/>
            <w:vAlign w:val="center"/>
          </w:tcPr>
          <w:p>
            <w:pPr>
              <w:widowControl/>
              <w:spacing w:line="360" w:lineRule="auto"/>
              <w:jc w:val="center"/>
              <w:rPr>
                <w:rFonts w:cs="仿宋" w:asciiTheme="minorEastAsia" w:hAnsiTheme="minorEastAsia" w:eastAsiaTheme="minorEastAsia"/>
                <w:sz w:val="24"/>
              </w:rPr>
            </w:pPr>
          </w:p>
        </w:tc>
        <w:tc>
          <w:tcPr>
            <w:tcW w:w="1170" w:type="dxa"/>
            <w:vAlign w:val="center"/>
          </w:tcPr>
          <w:p>
            <w:pPr>
              <w:widowControl/>
              <w:spacing w:line="360" w:lineRule="auto"/>
              <w:jc w:val="center"/>
              <w:rPr>
                <w:rFonts w:cs="仿宋" w:asciiTheme="minorEastAsia" w:hAnsiTheme="minorEastAsia" w:eastAsiaTheme="minorEastAsia"/>
                <w:sz w:val="24"/>
              </w:rPr>
            </w:pPr>
          </w:p>
        </w:tc>
        <w:tc>
          <w:tcPr>
            <w:tcW w:w="1170" w:type="dxa"/>
            <w:vAlign w:val="center"/>
          </w:tcPr>
          <w:p>
            <w:pPr>
              <w:widowControl/>
              <w:spacing w:line="360" w:lineRule="auto"/>
              <w:jc w:val="center"/>
              <w:rPr>
                <w:rFonts w:cs="仿宋" w:asciiTheme="minorEastAsia" w:hAnsiTheme="minorEastAsia" w:eastAsiaTheme="minorEastAsia"/>
                <w:sz w:val="24"/>
              </w:rPr>
            </w:pPr>
          </w:p>
        </w:tc>
        <w:tc>
          <w:tcPr>
            <w:tcW w:w="951" w:type="dxa"/>
            <w:vAlign w:val="center"/>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5782" w:type="dxa"/>
            <w:gridSpan w:val="6"/>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总报价（含税）</w:t>
            </w:r>
          </w:p>
        </w:tc>
        <w:tc>
          <w:tcPr>
            <w:tcW w:w="3291" w:type="dxa"/>
            <w:gridSpan w:val="3"/>
            <w:vAlign w:val="center"/>
          </w:tcPr>
          <w:p>
            <w:pPr>
              <w:widowControl/>
              <w:spacing w:line="360" w:lineRule="auto"/>
              <w:jc w:val="center"/>
              <w:rPr>
                <w:rFonts w:cs="仿宋" w:asciiTheme="minorEastAsia" w:hAnsiTheme="minorEastAsia" w:eastAsiaTheme="minorEastAsia"/>
                <w:sz w:val="24"/>
              </w:rPr>
            </w:pPr>
            <w:r>
              <w:rPr>
                <w:rFonts w:hint="eastAsia"/>
                <w:bCs/>
                <w:sz w:val="24"/>
              </w:rPr>
              <w:t>大写：     （小写：      元）</w:t>
            </w:r>
          </w:p>
        </w:tc>
      </w:tr>
    </w:tbl>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注：1、本页需加盖公章。</w:t>
      </w:r>
    </w:p>
    <w:p>
      <w:pPr>
        <w:spacing w:line="360" w:lineRule="auto"/>
        <w:ind w:firstLine="480" w:firstLineChars="200"/>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2、有抵税需求的采购项目，按照附录原则比价，采购人应在采购文件中注明。</w:t>
      </w:r>
    </w:p>
    <w:p>
      <w:pPr>
        <w:spacing w:line="360" w:lineRule="auto"/>
        <w:ind w:firstLine="480" w:firstLineChars="200"/>
        <w:jc w:val="both"/>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3、供应商可根据项目具体情况，在不改变报价表大致格式的前提下对报价表进行增项补充。</w:t>
      </w:r>
    </w:p>
    <w:p>
      <w:p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360" w:lineRule="auto"/>
        <w:jc w:val="center"/>
        <w:outlineLvl w:val="0"/>
        <w:rPr>
          <w:rFonts w:ascii="黑体" w:hAnsi="黑体" w:eastAsia="黑体" w:cs="仿宋"/>
          <w:sz w:val="36"/>
          <w:szCs w:val="36"/>
        </w:rPr>
      </w:pPr>
      <w:bookmarkStart w:id="50" w:name="_Toc22232"/>
      <w:r>
        <w:rPr>
          <w:rFonts w:hint="eastAsia" w:ascii="黑体" w:hAnsi="黑体" w:eastAsia="黑体" w:cs="仿宋"/>
          <w:sz w:val="36"/>
          <w:szCs w:val="36"/>
        </w:rPr>
        <w:t>五、资格审查资料</w:t>
      </w:r>
      <w:bookmarkEnd w:id="50"/>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w:t>
      </w:r>
      <w:r>
        <w:rPr>
          <w:rFonts w:cs="仿宋" w:asciiTheme="minorEastAsia" w:hAnsiTheme="minorEastAsia" w:eastAsiaTheme="minorEastAsia"/>
          <w:sz w:val="24"/>
        </w:rPr>
        <w:t>1</w:t>
      </w:r>
      <w:r>
        <w:rPr>
          <w:rFonts w:hint="eastAsia" w:cs="仿宋" w:asciiTheme="minorEastAsia" w:hAnsiTheme="minorEastAsia" w:eastAsiaTheme="minorEastAsia"/>
          <w:sz w:val="24"/>
        </w:rPr>
        <w:t>项和第3.5.</w:t>
      </w:r>
      <w:r>
        <w:rPr>
          <w:rFonts w:cs="仿宋" w:asciiTheme="minorEastAsia" w:hAnsiTheme="minorEastAsia" w:eastAsiaTheme="minorEastAsia"/>
          <w:sz w:val="24"/>
        </w:rPr>
        <w:t>2</w:t>
      </w:r>
      <w:r>
        <w:rPr>
          <w:rFonts w:hint="eastAsia" w:cs="仿宋" w:asciiTheme="minorEastAsia" w:hAnsiTheme="minorEastAsia" w:eastAsiaTheme="minorEastAsia"/>
          <w:sz w:val="24"/>
        </w:rPr>
        <w:t>项的要求提供主体资格证明及相关资质证明资料。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供应商还应根据供应商须知前附表第3.5.</w:t>
      </w: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项</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第3.5.</w:t>
      </w:r>
      <w:r>
        <w:rPr>
          <w:rFonts w:hint="eastAsia" w:cs="仿宋" w:asciiTheme="minorEastAsia" w:hAnsiTheme="minorEastAsia" w:eastAsiaTheme="minorEastAsia"/>
          <w:sz w:val="24"/>
          <w:lang w:val="en-US" w:eastAsia="zh-CN"/>
        </w:rPr>
        <w:t>5</w:t>
      </w:r>
      <w:r>
        <w:rPr>
          <w:rFonts w:hint="eastAsia" w:cs="仿宋" w:asciiTheme="minorEastAsia" w:hAnsiTheme="minorEastAsia" w:eastAsiaTheme="minorEastAsia"/>
          <w:sz w:val="24"/>
        </w:rPr>
        <w:t>项第3.5.</w:t>
      </w:r>
      <w:r>
        <w:rPr>
          <w:rFonts w:cs="仿宋" w:asciiTheme="minorEastAsia" w:hAnsiTheme="minorEastAsia" w:eastAsiaTheme="minorEastAsia"/>
          <w:sz w:val="24"/>
        </w:rPr>
        <w:t>6</w:t>
      </w:r>
      <w:r>
        <w:rPr>
          <w:rFonts w:hint="eastAsia" w:cs="仿宋" w:asciiTheme="minorEastAsia" w:hAnsiTheme="minorEastAsia" w:eastAsiaTheme="minorEastAsia"/>
          <w:sz w:val="24"/>
        </w:rPr>
        <w:t>项的要求提供其他相关证明材料。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（二）近年的类似项目情况表</w:t>
      </w:r>
    </w:p>
    <w:tbl>
      <w:tblPr>
        <w:tblStyle w:val="40"/>
        <w:tblW w:w="8697"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4"/>
        <w:gridCol w:w="2040"/>
        <w:gridCol w:w="2100"/>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4"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货物名称</w:t>
            </w:r>
          </w:p>
        </w:tc>
        <w:tc>
          <w:tcPr>
            <w:tcW w:w="2040" w:type="dxa"/>
            <w:vAlign w:val="center"/>
          </w:tcPr>
          <w:p>
            <w:pPr>
              <w:widowControl/>
              <w:spacing w:line="360" w:lineRule="auto"/>
              <w:jc w:val="center"/>
              <w:rPr>
                <w:rFonts w:cs="仿宋" w:asciiTheme="minorEastAsia" w:hAnsiTheme="minorEastAsia" w:eastAsiaTheme="minorEastAsia"/>
                <w:sz w:val="24"/>
              </w:rPr>
            </w:pPr>
          </w:p>
        </w:tc>
        <w:tc>
          <w:tcPr>
            <w:tcW w:w="2100" w:type="dxa"/>
            <w:vAlign w:val="center"/>
          </w:tcPr>
          <w:p>
            <w:pPr>
              <w:widowControl/>
              <w:spacing w:line="360" w:lineRule="auto"/>
              <w:jc w:val="center"/>
              <w:rPr>
                <w:rFonts w:cs="仿宋" w:asciiTheme="minorEastAsia" w:hAnsiTheme="minorEastAsia" w:eastAsiaTheme="minorEastAsia"/>
                <w:sz w:val="24"/>
              </w:rPr>
            </w:pPr>
          </w:p>
        </w:tc>
        <w:tc>
          <w:tcPr>
            <w:tcW w:w="1973" w:type="dxa"/>
            <w:vAlign w:val="center"/>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4"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规格和型号</w:t>
            </w:r>
          </w:p>
        </w:tc>
        <w:tc>
          <w:tcPr>
            <w:tcW w:w="2040" w:type="dxa"/>
            <w:vAlign w:val="center"/>
          </w:tcPr>
          <w:p>
            <w:pPr>
              <w:widowControl/>
              <w:spacing w:line="360" w:lineRule="auto"/>
              <w:jc w:val="center"/>
              <w:rPr>
                <w:rFonts w:cs="仿宋" w:asciiTheme="minorEastAsia" w:hAnsiTheme="minorEastAsia" w:eastAsiaTheme="minorEastAsia"/>
                <w:sz w:val="24"/>
              </w:rPr>
            </w:pPr>
          </w:p>
        </w:tc>
        <w:tc>
          <w:tcPr>
            <w:tcW w:w="2100" w:type="dxa"/>
            <w:vAlign w:val="center"/>
          </w:tcPr>
          <w:p>
            <w:pPr>
              <w:widowControl/>
              <w:spacing w:line="360" w:lineRule="auto"/>
              <w:jc w:val="center"/>
              <w:rPr>
                <w:rFonts w:cs="仿宋" w:asciiTheme="minorEastAsia" w:hAnsiTheme="minorEastAsia" w:eastAsiaTheme="minorEastAsia"/>
                <w:sz w:val="24"/>
              </w:rPr>
            </w:pPr>
          </w:p>
        </w:tc>
        <w:tc>
          <w:tcPr>
            <w:tcW w:w="1973" w:type="dxa"/>
            <w:vAlign w:val="center"/>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4"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2040" w:type="dxa"/>
            <w:vAlign w:val="center"/>
          </w:tcPr>
          <w:p>
            <w:pPr>
              <w:widowControl/>
              <w:spacing w:line="360" w:lineRule="auto"/>
              <w:jc w:val="center"/>
              <w:rPr>
                <w:rFonts w:cs="仿宋" w:asciiTheme="minorEastAsia" w:hAnsiTheme="minorEastAsia" w:eastAsiaTheme="minorEastAsia"/>
                <w:sz w:val="24"/>
              </w:rPr>
            </w:pPr>
          </w:p>
        </w:tc>
        <w:tc>
          <w:tcPr>
            <w:tcW w:w="2100" w:type="dxa"/>
            <w:vAlign w:val="center"/>
          </w:tcPr>
          <w:p>
            <w:pPr>
              <w:widowControl/>
              <w:spacing w:line="360" w:lineRule="auto"/>
              <w:jc w:val="center"/>
              <w:rPr>
                <w:rFonts w:cs="仿宋" w:asciiTheme="minorEastAsia" w:hAnsiTheme="minorEastAsia" w:eastAsiaTheme="minorEastAsia"/>
                <w:sz w:val="24"/>
              </w:rPr>
            </w:pPr>
          </w:p>
        </w:tc>
        <w:tc>
          <w:tcPr>
            <w:tcW w:w="1973" w:type="dxa"/>
            <w:vAlign w:val="center"/>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4"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买方名称</w:t>
            </w:r>
          </w:p>
        </w:tc>
        <w:tc>
          <w:tcPr>
            <w:tcW w:w="2040" w:type="dxa"/>
            <w:vAlign w:val="center"/>
          </w:tcPr>
          <w:p>
            <w:pPr>
              <w:widowControl/>
              <w:spacing w:line="360" w:lineRule="auto"/>
              <w:jc w:val="center"/>
              <w:rPr>
                <w:rFonts w:cs="仿宋" w:asciiTheme="minorEastAsia" w:hAnsiTheme="minorEastAsia" w:eastAsiaTheme="minorEastAsia"/>
                <w:sz w:val="24"/>
              </w:rPr>
            </w:pPr>
          </w:p>
        </w:tc>
        <w:tc>
          <w:tcPr>
            <w:tcW w:w="2100" w:type="dxa"/>
            <w:vAlign w:val="center"/>
          </w:tcPr>
          <w:p>
            <w:pPr>
              <w:widowControl/>
              <w:spacing w:line="360" w:lineRule="auto"/>
              <w:jc w:val="center"/>
              <w:rPr>
                <w:rFonts w:cs="仿宋" w:asciiTheme="minorEastAsia" w:hAnsiTheme="minorEastAsia" w:eastAsiaTheme="minorEastAsia"/>
                <w:sz w:val="24"/>
              </w:rPr>
            </w:pPr>
          </w:p>
        </w:tc>
        <w:tc>
          <w:tcPr>
            <w:tcW w:w="1973" w:type="dxa"/>
            <w:vAlign w:val="center"/>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4"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买方联系人及电话</w:t>
            </w:r>
          </w:p>
        </w:tc>
        <w:tc>
          <w:tcPr>
            <w:tcW w:w="2040" w:type="dxa"/>
            <w:vAlign w:val="center"/>
          </w:tcPr>
          <w:p>
            <w:pPr>
              <w:widowControl/>
              <w:spacing w:line="360" w:lineRule="auto"/>
              <w:jc w:val="center"/>
              <w:rPr>
                <w:rFonts w:cs="仿宋" w:asciiTheme="minorEastAsia" w:hAnsiTheme="minorEastAsia" w:eastAsiaTheme="minorEastAsia"/>
                <w:sz w:val="24"/>
              </w:rPr>
            </w:pPr>
          </w:p>
        </w:tc>
        <w:tc>
          <w:tcPr>
            <w:tcW w:w="2100" w:type="dxa"/>
            <w:vAlign w:val="center"/>
          </w:tcPr>
          <w:p>
            <w:pPr>
              <w:widowControl/>
              <w:spacing w:line="360" w:lineRule="auto"/>
              <w:jc w:val="center"/>
              <w:rPr>
                <w:rFonts w:cs="仿宋" w:asciiTheme="minorEastAsia" w:hAnsiTheme="minorEastAsia" w:eastAsiaTheme="minorEastAsia"/>
                <w:sz w:val="24"/>
              </w:rPr>
            </w:pPr>
          </w:p>
        </w:tc>
        <w:tc>
          <w:tcPr>
            <w:tcW w:w="1973" w:type="dxa"/>
            <w:vAlign w:val="center"/>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84"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2040" w:type="dxa"/>
            <w:vAlign w:val="center"/>
          </w:tcPr>
          <w:p>
            <w:pPr>
              <w:widowControl/>
              <w:spacing w:line="360" w:lineRule="auto"/>
              <w:jc w:val="center"/>
              <w:rPr>
                <w:rFonts w:cs="仿宋" w:asciiTheme="minorEastAsia" w:hAnsiTheme="minorEastAsia" w:eastAsiaTheme="minorEastAsia"/>
                <w:sz w:val="24"/>
              </w:rPr>
            </w:pPr>
          </w:p>
        </w:tc>
        <w:tc>
          <w:tcPr>
            <w:tcW w:w="2100" w:type="dxa"/>
            <w:vAlign w:val="center"/>
          </w:tcPr>
          <w:p>
            <w:pPr>
              <w:widowControl/>
              <w:spacing w:line="360" w:lineRule="auto"/>
              <w:jc w:val="center"/>
              <w:rPr>
                <w:rFonts w:cs="仿宋" w:asciiTheme="minorEastAsia" w:hAnsiTheme="minorEastAsia" w:eastAsiaTheme="minorEastAsia"/>
                <w:sz w:val="24"/>
              </w:rPr>
            </w:pPr>
          </w:p>
        </w:tc>
        <w:tc>
          <w:tcPr>
            <w:tcW w:w="1973" w:type="dxa"/>
            <w:vAlign w:val="center"/>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584"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2040" w:type="dxa"/>
            <w:vAlign w:val="center"/>
          </w:tcPr>
          <w:p>
            <w:pPr>
              <w:widowControl/>
              <w:spacing w:line="360" w:lineRule="auto"/>
              <w:jc w:val="center"/>
              <w:rPr>
                <w:rFonts w:cs="仿宋" w:asciiTheme="minorEastAsia" w:hAnsiTheme="minorEastAsia" w:eastAsiaTheme="minorEastAsia"/>
                <w:sz w:val="24"/>
              </w:rPr>
            </w:pPr>
          </w:p>
        </w:tc>
        <w:tc>
          <w:tcPr>
            <w:tcW w:w="2100" w:type="dxa"/>
            <w:vAlign w:val="center"/>
          </w:tcPr>
          <w:p>
            <w:pPr>
              <w:widowControl/>
              <w:spacing w:line="360" w:lineRule="auto"/>
              <w:jc w:val="center"/>
              <w:rPr>
                <w:rFonts w:cs="仿宋" w:asciiTheme="minorEastAsia" w:hAnsiTheme="minorEastAsia" w:eastAsiaTheme="minorEastAsia"/>
                <w:sz w:val="24"/>
              </w:rPr>
            </w:pPr>
          </w:p>
        </w:tc>
        <w:tc>
          <w:tcPr>
            <w:tcW w:w="1973" w:type="dxa"/>
            <w:vAlign w:val="center"/>
          </w:tcPr>
          <w:p>
            <w:pPr>
              <w:widowControl/>
              <w:spacing w:line="360" w:lineRule="auto"/>
              <w:jc w:val="center"/>
              <w:rPr>
                <w:rFonts w:cs="仿宋" w:asciiTheme="minorEastAsia" w:hAnsiTheme="minorEastAsia" w:eastAsiaTheme="minorEastAsia"/>
                <w:sz w:val="24"/>
              </w:rPr>
            </w:pPr>
          </w:p>
        </w:tc>
      </w:tr>
    </w:tbl>
    <w:p>
      <w:pPr>
        <w:numPr>
          <w:ilvl w:val="255"/>
          <w:numId w:val="0"/>
        </w:numPr>
        <w:spacing w:line="360" w:lineRule="auto"/>
        <w:jc w:val="both"/>
        <w:rPr>
          <w:rFonts w:ascii="宋体" w:hAnsi="宋体" w:cs="宋体"/>
          <w:sz w:val="24"/>
        </w:rPr>
      </w:pPr>
      <w:r>
        <w:rPr>
          <w:rFonts w:hint="eastAsia" w:cs="仿宋" w:asciiTheme="minorEastAsia" w:hAnsiTheme="minorEastAsia" w:eastAsiaTheme="minorEastAsia"/>
          <w:sz w:val="24"/>
        </w:rPr>
        <w:br w:type="page"/>
      </w: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三</w:t>
      </w:r>
      <w:r>
        <w:rPr>
          <w:rFonts w:hint="eastAsia" w:cs="仿宋" w:asciiTheme="minorEastAsia" w:hAnsiTheme="minorEastAsia" w:eastAsiaTheme="minorEastAsia"/>
          <w:sz w:val="24"/>
        </w:rPr>
        <w:t>)</w:t>
      </w:r>
      <w:r>
        <w:rPr>
          <w:rFonts w:hint="eastAsia" w:ascii="宋体" w:hAnsi="宋体" w:cs="宋体"/>
          <w:sz w:val="24"/>
        </w:rPr>
        <w:t>拟委任的主要人员汇总表</w:t>
      </w:r>
    </w:p>
    <w:tbl>
      <w:tblPr>
        <w:tblStyle w:val="40"/>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391"/>
        <w:gridCol w:w="1006"/>
        <w:gridCol w:w="1006"/>
        <w:gridCol w:w="1006"/>
        <w:gridCol w:w="1006"/>
        <w:gridCol w:w="1006"/>
        <w:gridCol w:w="1009"/>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620" w:type="dxa"/>
            <w:vMerge w:val="restart"/>
            <w:vAlign w:val="center"/>
          </w:tcPr>
          <w:p>
            <w:pPr>
              <w:widowControl/>
              <w:spacing w:line="360" w:lineRule="auto"/>
              <w:jc w:val="center"/>
              <w:rPr>
                <w:rFonts w:ascii="宋体" w:hAnsi="宋体" w:cs="宋体"/>
                <w:sz w:val="24"/>
              </w:rPr>
            </w:pPr>
            <w:r>
              <w:rPr>
                <w:rFonts w:hint="eastAsia" w:ascii="宋体" w:hAnsi="宋体" w:cs="宋体"/>
                <w:sz w:val="24"/>
              </w:rPr>
              <w:t>序号</w:t>
            </w:r>
          </w:p>
        </w:tc>
        <w:tc>
          <w:tcPr>
            <w:tcW w:w="1391" w:type="dxa"/>
            <w:vMerge w:val="restart"/>
            <w:vAlign w:val="center"/>
          </w:tcPr>
          <w:p>
            <w:pPr>
              <w:widowControl/>
              <w:spacing w:line="360" w:lineRule="auto"/>
              <w:jc w:val="center"/>
              <w:rPr>
                <w:rFonts w:ascii="宋体" w:hAnsi="宋体" w:cs="宋体"/>
                <w:sz w:val="24"/>
              </w:rPr>
            </w:pPr>
            <w:r>
              <w:rPr>
                <w:rFonts w:hint="eastAsia" w:ascii="宋体" w:hAnsi="宋体" w:cs="宋体"/>
                <w:sz w:val="24"/>
              </w:rPr>
              <w:t>本项目任职</w:t>
            </w:r>
          </w:p>
        </w:tc>
        <w:tc>
          <w:tcPr>
            <w:tcW w:w="1006" w:type="dxa"/>
            <w:vMerge w:val="restart"/>
            <w:vAlign w:val="center"/>
          </w:tcPr>
          <w:p>
            <w:pPr>
              <w:widowControl/>
              <w:spacing w:line="360" w:lineRule="auto"/>
              <w:jc w:val="center"/>
              <w:rPr>
                <w:rFonts w:ascii="宋体" w:hAnsi="宋体" w:cs="宋体"/>
                <w:sz w:val="24"/>
              </w:rPr>
            </w:pPr>
            <w:r>
              <w:rPr>
                <w:rFonts w:hint="eastAsia" w:ascii="宋体" w:hAnsi="宋体" w:cs="宋体"/>
                <w:sz w:val="24"/>
              </w:rPr>
              <w:t>姓名</w:t>
            </w:r>
          </w:p>
        </w:tc>
        <w:tc>
          <w:tcPr>
            <w:tcW w:w="1006" w:type="dxa"/>
            <w:vMerge w:val="restart"/>
            <w:vAlign w:val="center"/>
          </w:tcPr>
          <w:p>
            <w:pPr>
              <w:widowControl/>
              <w:spacing w:line="360" w:lineRule="auto"/>
              <w:jc w:val="center"/>
              <w:rPr>
                <w:rFonts w:ascii="宋体" w:hAnsi="宋体" w:cs="宋体"/>
                <w:sz w:val="24"/>
              </w:rPr>
            </w:pPr>
            <w:r>
              <w:rPr>
                <w:rFonts w:hint="eastAsia" w:ascii="宋体" w:hAnsi="宋体" w:cs="宋体"/>
                <w:sz w:val="24"/>
              </w:rPr>
              <w:t>职称</w:t>
            </w:r>
          </w:p>
        </w:tc>
        <w:tc>
          <w:tcPr>
            <w:tcW w:w="1006" w:type="dxa"/>
            <w:vMerge w:val="restart"/>
            <w:vAlign w:val="center"/>
          </w:tcPr>
          <w:p>
            <w:pPr>
              <w:widowControl/>
              <w:spacing w:line="360" w:lineRule="auto"/>
              <w:jc w:val="center"/>
              <w:rPr>
                <w:rFonts w:ascii="宋体" w:hAnsi="宋体" w:cs="宋体"/>
                <w:sz w:val="24"/>
              </w:rPr>
            </w:pPr>
            <w:r>
              <w:rPr>
                <w:rFonts w:hint="eastAsia" w:ascii="宋体" w:hAnsi="宋体" w:cs="宋体"/>
                <w:sz w:val="24"/>
              </w:rPr>
              <w:t>专业</w:t>
            </w:r>
          </w:p>
        </w:tc>
        <w:tc>
          <w:tcPr>
            <w:tcW w:w="3021" w:type="dxa"/>
            <w:gridSpan w:val="3"/>
            <w:vAlign w:val="center"/>
          </w:tcPr>
          <w:p>
            <w:pPr>
              <w:widowControl/>
              <w:spacing w:line="360" w:lineRule="auto"/>
              <w:jc w:val="center"/>
              <w:rPr>
                <w:rFonts w:ascii="宋体" w:hAnsi="宋体" w:cs="宋体"/>
                <w:sz w:val="24"/>
              </w:rPr>
            </w:pPr>
            <w:r>
              <w:rPr>
                <w:rFonts w:hint="eastAsia" w:ascii="宋体" w:hAnsi="宋体" w:cs="宋体"/>
                <w:sz w:val="24"/>
              </w:rPr>
              <w:t>执业或职业资格证明</w:t>
            </w:r>
          </w:p>
        </w:tc>
        <w:tc>
          <w:tcPr>
            <w:tcW w:w="1006" w:type="dxa"/>
            <w:vAlign w:val="center"/>
          </w:tcPr>
          <w:p>
            <w:pPr>
              <w:widowControl/>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20" w:type="dxa"/>
            <w:vMerge w:val="continue"/>
            <w:vAlign w:val="center"/>
          </w:tcPr>
          <w:p>
            <w:pPr>
              <w:widowControl/>
              <w:spacing w:line="360" w:lineRule="auto"/>
              <w:jc w:val="center"/>
              <w:rPr>
                <w:rFonts w:ascii="宋体" w:hAnsi="宋体" w:cs="宋体"/>
                <w:sz w:val="24"/>
              </w:rPr>
            </w:pPr>
          </w:p>
        </w:tc>
        <w:tc>
          <w:tcPr>
            <w:tcW w:w="1391" w:type="dxa"/>
            <w:vMerge w:val="continue"/>
            <w:vAlign w:val="center"/>
          </w:tcPr>
          <w:p>
            <w:pPr>
              <w:widowControl/>
              <w:spacing w:line="360" w:lineRule="auto"/>
              <w:jc w:val="center"/>
              <w:rPr>
                <w:rFonts w:ascii="宋体" w:hAnsi="宋体" w:cs="宋体"/>
                <w:sz w:val="24"/>
              </w:rPr>
            </w:pPr>
          </w:p>
        </w:tc>
        <w:tc>
          <w:tcPr>
            <w:tcW w:w="1006" w:type="dxa"/>
            <w:vMerge w:val="continue"/>
            <w:vAlign w:val="center"/>
          </w:tcPr>
          <w:p>
            <w:pPr>
              <w:widowControl/>
              <w:spacing w:line="360" w:lineRule="auto"/>
              <w:jc w:val="center"/>
              <w:rPr>
                <w:rFonts w:ascii="宋体" w:hAnsi="宋体" w:cs="宋体"/>
                <w:sz w:val="24"/>
              </w:rPr>
            </w:pPr>
          </w:p>
        </w:tc>
        <w:tc>
          <w:tcPr>
            <w:tcW w:w="1006" w:type="dxa"/>
            <w:vMerge w:val="continue"/>
            <w:vAlign w:val="center"/>
          </w:tcPr>
          <w:p>
            <w:pPr>
              <w:widowControl/>
              <w:spacing w:line="360" w:lineRule="auto"/>
              <w:jc w:val="center"/>
              <w:rPr>
                <w:rFonts w:ascii="宋体" w:hAnsi="宋体" w:cs="宋体"/>
                <w:sz w:val="24"/>
              </w:rPr>
            </w:pPr>
          </w:p>
        </w:tc>
        <w:tc>
          <w:tcPr>
            <w:tcW w:w="1006" w:type="dxa"/>
            <w:vMerge w:val="continue"/>
            <w:vAlign w:val="center"/>
          </w:tcPr>
          <w:p>
            <w:pPr>
              <w:widowControl/>
              <w:spacing w:line="360" w:lineRule="auto"/>
              <w:jc w:val="center"/>
              <w:rPr>
                <w:rFonts w:ascii="宋体" w:hAnsi="宋体" w:cs="宋体"/>
                <w:sz w:val="24"/>
              </w:rPr>
            </w:pPr>
          </w:p>
        </w:tc>
        <w:tc>
          <w:tcPr>
            <w:tcW w:w="1006" w:type="dxa"/>
            <w:vAlign w:val="center"/>
          </w:tcPr>
          <w:p>
            <w:pPr>
              <w:widowControl/>
              <w:spacing w:line="360" w:lineRule="auto"/>
              <w:jc w:val="center"/>
              <w:rPr>
                <w:rFonts w:ascii="宋体" w:hAnsi="宋体" w:cs="宋体"/>
                <w:sz w:val="24"/>
              </w:rPr>
            </w:pPr>
            <w:r>
              <w:rPr>
                <w:rFonts w:hint="eastAsia" w:ascii="宋体" w:hAnsi="宋体" w:cs="宋体"/>
                <w:sz w:val="24"/>
              </w:rPr>
              <w:t>证书名称</w:t>
            </w:r>
          </w:p>
        </w:tc>
        <w:tc>
          <w:tcPr>
            <w:tcW w:w="1006" w:type="dxa"/>
            <w:vAlign w:val="center"/>
          </w:tcPr>
          <w:p>
            <w:pPr>
              <w:widowControl/>
              <w:spacing w:line="360" w:lineRule="auto"/>
              <w:jc w:val="center"/>
              <w:rPr>
                <w:rFonts w:ascii="宋体" w:hAnsi="宋体" w:cs="宋体"/>
                <w:sz w:val="24"/>
              </w:rPr>
            </w:pPr>
            <w:r>
              <w:rPr>
                <w:rFonts w:hint="eastAsia" w:ascii="宋体" w:hAnsi="宋体" w:cs="宋体"/>
                <w:sz w:val="24"/>
              </w:rPr>
              <w:t>级别</w:t>
            </w:r>
          </w:p>
        </w:tc>
        <w:tc>
          <w:tcPr>
            <w:tcW w:w="1009" w:type="dxa"/>
            <w:vAlign w:val="center"/>
          </w:tcPr>
          <w:p>
            <w:pPr>
              <w:widowControl/>
              <w:spacing w:line="360" w:lineRule="auto"/>
              <w:jc w:val="center"/>
              <w:rPr>
                <w:rFonts w:ascii="宋体" w:hAnsi="宋体" w:cs="宋体"/>
                <w:sz w:val="24"/>
              </w:rPr>
            </w:pPr>
            <w:r>
              <w:rPr>
                <w:rFonts w:hint="eastAsia" w:ascii="宋体" w:hAnsi="宋体" w:cs="宋体"/>
                <w:sz w:val="24"/>
              </w:rPr>
              <w:t>证号</w:t>
            </w:r>
          </w:p>
        </w:tc>
        <w:tc>
          <w:tcPr>
            <w:tcW w:w="1006" w:type="dxa"/>
            <w:vAlign w:val="center"/>
          </w:tcPr>
          <w:p>
            <w:pPr>
              <w:widowControl/>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20" w:type="dxa"/>
          </w:tcPr>
          <w:p>
            <w:pPr>
              <w:widowControl/>
              <w:spacing w:line="360" w:lineRule="auto"/>
              <w:jc w:val="center"/>
              <w:rPr>
                <w:rFonts w:ascii="宋体" w:hAnsi="宋体" w:cs="宋体"/>
                <w:szCs w:val="21"/>
              </w:rPr>
            </w:pPr>
            <w:r>
              <w:rPr>
                <w:rFonts w:hint="eastAsia" w:ascii="宋体" w:hAnsi="宋体" w:cs="宋体"/>
                <w:szCs w:val="21"/>
              </w:rPr>
              <w:t>1</w:t>
            </w:r>
          </w:p>
        </w:tc>
        <w:tc>
          <w:tcPr>
            <w:tcW w:w="1391" w:type="dxa"/>
          </w:tcPr>
          <w:p>
            <w:pPr>
              <w:widowControl/>
              <w:spacing w:line="360" w:lineRule="auto"/>
              <w:jc w:val="center"/>
              <w:rPr>
                <w:rFonts w:ascii="宋体" w:hAnsi="宋体" w:cs="宋体"/>
                <w:szCs w:val="21"/>
              </w:rPr>
            </w:pPr>
            <w:r>
              <w:rPr>
                <w:rFonts w:hint="eastAsia" w:ascii="宋体" w:hAnsi="宋体" w:cs="宋体"/>
                <w:szCs w:val="21"/>
              </w:rPr>
              <w:t>项目负责人</w:t>
            </w:r>
          </w:p>
        </w:tc>
        <w:tc>
          <w:tcPr>
            <w:tcW w:w="1006"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c>
          <w:tcPr>
            <w:tcW w:w="1009"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20" w:type="dxa"/>
          </w:tcPr>
          <w:p>
            <w:pPr>
              <w:widowControl/>
              <w:spacing w:line="360" w:lineRule="auto"/>
              <w:jc w:val="center"/>
              <w:rPr>
                <w:rFonts w:ascii="宋体" w:hAnsi="宋体" w:cs="宋体"/>
                <w:szCs w:val="21"/>
              </w:rPr>
            </w:pPr>
            <w:r>
              <w:rPr>
                <w:rFonts w:hint="eastAsia" w:ascii="宋体" w:hAnsi="宋体" w:cs="宋体"/>
                <w:szCs w:val="21"/>
              </w:rPr>
              <w:t>2</w:t>
            </w:r>
          </w:p>
        </w:tc>
        <w:tc>
          <w:tcPr>
            <w:tcW w:w="1391" w:type="dxa"/>
          </w:tcPr>
          <w:p>
            <w:pPr>
              <w:widowControl/>
              <w:spacing w:line="360" w:lineRule="auto"/>
              <w:jc w:val="center"/>
              <w:rPr>
                <w:rFonts w:ascii="宋体" w:hAnsi="宋体" w:cs="宋体"/>
                <w:szCs w:val="21"/>
              </w:rPr>
            </w:pPr>
            <w:r>
              <w:rPr>
                <w:rFonts w:hint="eastAsia" w:ascii="宋体" w:hAnsi="宋体" w:cs="宋体"/>
                <w:szCs w:val="21"/>
              </w:rPr>
              <w:t>技术人员</w:t>
            </w:r>
          </w:p>
        </w:tc>
        <w:tc>
          <w:tcPr>
            <w:tcW w:w="1006"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c>
          <w:tcPr>
            <w:tcW w:w="1009"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20" w:type="dxa"/>
          </w:tcPr>
          <w:p>
            <w:pPr>
              <w:widowControl/>
              <w:spacing w:line="360" w:lineRule="auto"/>
              <w:jc w:val="both"/>
              <w:rPr>
                <w:rFonts w:ascii="宋体" w:hAnsi="宋体" w:cs="宋体"/>
                <w:szCs w:val="21"/>
              </w:rPr>
            </w:pPr>
            <w:r>
              <w:rPr>
                <w:rFonts w:hint="eastAsia" w:ascii="宋体" w:hAnsi="宋体" w:cs="宋体"/>
                <w:szCs w:val="21"/>
              </w:rPr>
              <w:t>..</w:t>
            </w:r>
          </w:p>
        </w:tc>
        <w:tc>
          <w:tcPr>
            <w:tcW w:w="1391"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c>
          <w:tcPr>
            <w:tcW w:w="1009" w:type="dxa"/>
          </w:tcPr>
          <w:p>
            <w:pPr>
              <w:widowControl/>
              <w:spacing w:line="360" w:lineRule="auto"/>
              <w:jc w:val="both"/>
              <w:rPr>
                <w:rFonts w:ascii="宋体" w:hAnsi="宋体" w:cs="宋体"/>
                <w:szCs w:val="21"/>
              </w:rPr>
            </w:pPr>
          </w:p>
        </w:tc>
        <w:tc>
          <w:tcPr>
            <w:tcW w:w="1006" w:type="dxa"/>
          </w:tcPr>
          <w:p>
            <w:pPr>
              <w:widowControl/>
              <w:spacing w:line="360" w:lineRule="auto"/>
              <w:jc w:val="both"/>
              <w:rPr>
                <w:rFonts w:ascii="宋体" w:hAnsi="宋体" w:cs="宋体"/>
                <w:szCs w:val="21"/>
              </w:rPr>
            </w:pPr>
          </w:p>
        </w:tc>
      </w:tr>
    </w:tbl>
    <w:p>
      <w:pPr>
        <w:numPr>
          <w:ilvl w:val="255"/>
          <w:numId w:val="0"/>
        </w:numPr>
        <w:spacing w:line="360" w:lineRule="auto"/>
        <w:jc w:val="both"/>
        <w:rPr>
          <w:rFonts w:ascii="宋体" w:hAnsi="宋体" w:cs="宋体"/>
          <w:sz w:val="24"/>
        </w:rPr>
      </w:pPr>
      <w:r>
        <w:rPr>
          <w:rFonts w:hint="eastAsia" w:ascii="宋体" w:hAnsi="宋体" w:cs="宋体"/>
          <w:sz w:val="24"/>
        </w:rPr>
        <w:t>（</w:t>
      </w:r>
      <w:r>
        <w:rPr>
          <w:rFonts w:hint="eastAsia" w:ascii="宋体" w:hAnsi="宋体" w:cs="宋体"/>
          <w:sz w:val="24"/>
          <w:lang w:val="en-US" w:eastAsia="zh-CN"/>
        </w:rPr>
        <w:t>四</w:t>
      </w:r>
      <w:r>
        <w:rPr>
          <w:rFonts w:hint="eastAsia" w:ascii="宋体" w:hAnsi="宋体" w:cs="宋体"/>
          <w:sz w:val="24"/>
        </w:rPr>
        <w:t>）主要人员简历表</w:t>
      </w:r>
    </w:p>
    <w:tbl>
      <w:tblPr>
        <w:tblStyle w:val="39"/>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41"/>
        <w:gridCol w:w="51"/>
        <w:gridCol w:w="1462"/>
        <w:gridCol w:w="1066"/>
        <w:gridCol w:w="1389"/>
        <w:gridCol w:w="339"/>
        <w:gridCol w:w="1552"/>
        <w:gridCol w:w="388"/>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8" w:hRule="atLeast"/>
        </w:trPr>
        <w:tc>
          <w:tcPr>
            <w:tcW w:w="1241" w:type="dxa"/>
            <w:vAlign w:val="center"/>
          </w:tcPr>
          <w:p>
            <w:pPr>
              <w:autoSpaceDE w:val="0"/>
              <w:autoSpaceDN w:val="0"/>
              <w:spacing w:before="60" w:beforeLines="25" w:after="60" w:afterLines="25" w:line="360" w:lineRule="auto"/>
              <w:jc w:val="center"/>
              <w:textAlignment w:val="bottom"/>
              <w:rPr>
                <w:rFonts w:ascii="宋体" w:hAnsi="宋体" w:cs="宋体"/>
                <w:sz w:val="24"/>
              </w:rPr>
            </w:pPr>
            <w:r>
              <w:rPr>
                <w:rFonts w:hint="eastAsia" w:ascii="宋体" w:hAnsi="宋体" w:cs="宋体"/>
                <w:sz w:val="24"/>
              </w:rPr>
              <w:t>姓    名</w:t>
            </w:r>
          </w:p>
        </w:tc>
        <w:tc>
          <w:tcPr>
            <w:tcW w:w="1513" w:type="dxa"/>
            <w:gridSpan w:val="2"/>
            <w:vAlign w:val="center"/>
          </w:tcPr>
          <w:p>
            <w:pPr>
              <w:autoSpaceDE w:val="0"/>
              <w:autoSpaceDN w:val="0"/>
              <w:spacing w:before="60" w:beforeLines="25" w:after="60" w:afterLines="25" w:line="360" w:lineRule="auto"/>
              <w:jc w:val="center"/>
              <w:textAlignment w:val="bottom"/>
              <w:rPr>
                <w:rFonts w:ascii="宋体" w:hAnsi="宋体" w:cs="宋体"/>
                <w:sz w:val="24"/>
              </w:rPr>
            </w:pPr>
          </w:p>
        </w:tc>
        <w:tc>
          <w:tcPr>
            <w:tcW w:w="1066" w:type="dxa"/>
            <w:vAlign w:val="center"/>
          </w:tcPr>
          <w:p>
            <w:pPr>
              <w:autoSpaceDE w:val="0"/>
              <w:autoSpaceDN w:val="0"/>
              <w:spacing w:before="60" w:beforeLines="25" w:after="60" w:afterLines="25" w:line="360" w:lineRule="auto"/>
              <w:jc w:val="center"/>
              <w:textAlignment w:val="bottom"/>
              <w:rPr>
                <w:rFonts w:ascii="宋体" w:hAnsi="宋体" w:cs="宋体"/>
                <w:sz w:val="24"/>
              </w:rPr>
            </w:pPr>
            <w:r>
              <w:rPr>
                <w:rFonts w:hint="eastAsia" w:ascii="宋体" w:hAnsi="宋体" w:cs="宋体"/>
                <w:sz w:val="24"/>
              </w:rPr>
              <w:t>年    龄</w:t>
            </w:r>
          </w:p>
        </w:tc>
        <w:tc>
          <w:tcPr>
            <w:tcW w:w="1389" w:type="dxa"/>
          </w:tcPr>
          <w:p>
            <w:pPr>
              <w:autoSpaceDE w:val="0"/>
              <w:autoSpaceDN w:val="0"/>
              <w:spacing w:before="60" w:beforeLines="25" w:after="60" w:afterLines="25" w:line="360" w:lineRule="auto"/>
              <w:jc w:val="center"/>
              <w:textAlignment w:val="bottom"/>
              <w:rPr>
                <w:rFonts w:ascii="宋体" w:hAnsi="宋体" w:cs="宋体"/>
                <w:sz w:val="24"/>
              </w:rPr>
            </w:pPr>
          </w:p>
        </w:tc>
        <w:tc>
          <w:tcPr>
            <w:tcW w:w="1891" w:type="dxa"/>
            <w:gridSpan w:val="2"/>
          </w:tcPr>
          <w:p>
            <w:pPr>
              <w:autoSpaceDE w:val="0"/>
              <w:autoSpaceDN w:val="0"/>
              <w:spacing w:before="60" w:beforeLines="25" w:after="60" w:afterLines="25" w:line="360" w:lineRule="auto"/>
              <w:jc w:val="center"/>
              <w:textAlignment w:val="bottom"/>
              <w:rPr>
                <w:rFonts w:ascii="宋体" w:hAnsi="宋体" w:cs="宋体"/>
                <w:sz w:val="24"/>
              </w:rPr>
            </w:pPr>
            <w:r>
              <w:rPr>
                <w:rFonts w:hint="eastAsia" w:ascii="宋体" w:hAnsi="宋体" w:cs="宋体"/>
                <w:sz w:val="24"/>
              </w:rPr>
              <w:t>执业或职业资格证书名称</w:t>
            </w:r>
          </w:p>
        </w:tc>
        <w:tc>
          <w:tcPr>
            <w:tcW w:w="1678" w:type="dxa"/>
            <w:gridSpan w:val="2"/>
          </w:tcPr>
          <w:p>
            <w:pPr>
              <w:autoSpaceDE w:val="0"/>
              <w:autoSpaceDN w:val="0"/>
              <w:spacing w:before="60" w:beforeLines="25" w:after="60" w:afterLines="25" w:line="360" w:lineRule="auto"/>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41" w:type="dxa"/>
            <w:vAlign w:val="center"/>
          </w:tcPr>
          <w:p>
            <w:pPr>
              <w:autoSpaceDE w:val="0"/>
              <w:autoSpaceDN w:val="0"/>
              <w:spacing w:before="60" w:beforeLines="25" w:after="60" w:afterLines="25" w:line="360" w:lineRule="auto"/>
              <w:jc w:val="center"/>
              <w:textAlignment w:val="bottom"/>
              <w:rPr>
                <w:rFonts w:ascii="宋体" w:hAnsi="宋体" w:cs="宋体"/>
                <w:sz w:val="24"/>
              </w:rPr>
            </w:pPr>
            <w:r>
              <w:rPr>
                <w:rFonts w:hint="eastAsia" w:ascii="宋体" w:hAnsi="宋体" w:cs="宋体"/>
                <w:sz w:val="24"/>
              </w:rPr>
              <w:t>职称</w:t>
            </w:r>
          </w:p>
        </w:tc>
        <w:tc>
          <w:tcPr>
            <w:tcW w:w="1513" w:type="dxa"/>
            <w:gridSpan w:val="2"/>
            <w:vAlign w:val="center"/>
          </w:tcPr>
          <w:p>
            <w:pPr>
              <w:autoSpaceDE w:val="0"/>
              <w:autoSpaceDN w:val="0"/>
              <w:spacing w:before="60" w:beforeLines="25" w:after="60" w:afterLines="25" w:line="360" w:lineRule="auto"/>
              <w:jc w:val="center"/>
              <w:textAlignment w:val="bottom"/>
              <w:rPr>
                <w:rFonts w:ascii="宋体" w:hAnsi="宋体" w:cs="宋体"/>
                <w:sz w:val="24"/>
              </w:rPr>
            </w:pPr>
          </w:p>
        </w:tc>
        <w:tc>
          <w:tcPr>
            <w:tcW w:w="1066" w:type="dxa"/>
            <w:vAlign w:val="center"/>
          </w:tcPr>
          <w:p>
            <w:pPr>
              <w:autoSpaceDE w:val="0"/>
              <w:autoSpaceDN w:val="0"/>
              <w:spacing w:before="60" w:beforeLines="25" w:after="60" w:afterLines="25" w:line="360" w:lineRule="auto"/>
              <w:jc w:val="center"/>
              <w:textAlignment w:val="bottom"/>
              <w:rPr>
                <w:rFonts w:ascii="宋体" w:hAnsi="宋体" w:cs="宋体"/>
                <w:sz w:val="24"/>
              </w:rPr>
            </w:pPr>
            <w:r>
              <w:rPr>
                <w:rFonts w:hint="eastAsia" w:ascii="宋体" w:hAnsi="宋体" w:cs="宋体"/>
                <w:sz w:val="24"/>
              </w:rPr>
              <w:t>学    历</w:t>
            </w:r>
          </w:p>
        </w:tc>
        <w:tc>
          <w:tcPr>
            <w:tcW w:w="1389" w:type="dxa"/>
          </w:tcPr>
          <w:p>
            <w:pPr>
              <w:autoSpaceDE w:val="0"/>
              <w:autoSpaceDN w:val="0"/>
              <w:spacing w:before="60" w:beforeLines="25" w:after="60" w:afterLines="25" w:line="360" w:lineRule="auto"/>
              <w:jc w:val="center"/>
              <w:textAlignment w:val="bottom"/>
              <w:rPr>
                <w:rFonts w:ascii="宋体" w:hAnsi="宋体" w:cs="宋体"/>
                <w:sz w:val="24"/>
              </w:rPr>
            </w:pPr>
          </w:p>
        </w:tc>
        <w:tc>
          <w:tcPr>
            <w:tcW w:w="1891" w:type="dxa"/>
            <w:gridSpan w:val="2"/>
          </w:tcPr>
          <w:p>
            <w:pPr>
              <w:autoSpaceDE w:val="0"/>
              <w:autoSpaceDN w:val="0"/>
              <w:spacing w:before="60" w:beforeLines="25" w:after="60" w:afterLines="25" w:line="360" w:lineRule="auto"/>
              <w:jc w:val="center"/>
              <w:textAlignment w:val="bottom"/>
              <w:rPr>
                <w:rFonts w:ascii="宋体" w:hAnsi="宋体" w:cs="宋体"/>
                <w:sz w:val="24"/>
              </w:rPr>
            </w:pPr>
            <w:r>
              <w:rPr>
                <w:rFonts w:hint="eastAsia" w:ascii="宋体" w:hAnsi="宋体" w:cs="宋体"/>
                <w:sz w:val="24"/>
              </w:rPr>
              <w:t>拟在本项目任职</w:t>
            </w:r>
          </w:p>
        </w:tc>
        <w:tc>
          <w:tcPr>
            <w:tcW w:w="1678" w:type="dxa"/>
            <w:gridSpan w:val="2"/>
          </w:tcPr>
          <w:p>
            <w:pPr>
              <w:autoSpaceDE w:val="0"/>
              <w:autoSpaceDN w:val="0"/>
              <w:spacing w:before="60" w:beforeLines="25" w:after="60" w:afterLines="25" w:line="360" w:lineRule="auto"/>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41" w:type="dxa"/>
            <w:vAlign w:val="center"/>
          </w:tcPr>
          <w:p>
            <w:pPr>
              <w:autoSpaceDE w:val="0"/>
              <w:autoSpaceDN w:val="0"/>
              <w:spacing w:before="60" w:beforeLines="25" w:after="60" w:afterLines="25" w:line="360" w:lineRule="auto"/>
              <w:jc w:val="center"/>
              <w:textAlignment w:val="bottom"/>
              <w:rPr>
                <w:rFonts w:ascii="宋体" w:hAnsi="宋体" w:cs="宋体"/>
                <w:sz w:val="24"/>
              </w:rPr>
            </w:pPr>
            <w:r>
              <w:rPr>
                <w:rFonts w:hint="eastAsia" w:ascii="宋体" w:hAnsi="宋体" w:cs="宋体"/>
                <w:sz w:val="24"/>
              </w:rPr>
              <w:t>工作年限</w:t>
            </w:r>
          </w:p>
        </w:tc>
        <w:tc>
          <w:tcPr>
            <w:tcW w:w="3968" w:type="dxa"/>
            <w:gridSpan w:val="4"/>
            <w:vAlign w:val="center"/>
          </w:tcPr>
          <w:p>
            <w:pPr>
              <w:autoSpaceDE w:val="0"/>
              <w:autoSpaceDN w:val="0"/>
              <w:spacing w:before="60" w:beforeLines="25" w:after="60" w:afterLines="25" w:line="360" w:lineRule="auto"/>
              <w:jc w:val="center"/>
              <w:textAlignment w:val="bottom"/>
              <w:rPr>
                <w:rFonts w:ascii="宋体" w:hAnsi="宋体" w:cs="宋体"/>
                <w:sz w:val="24"/>
              </w:rPr>
            </w:pPr>
          </w:p>
        </w:tc>
        <w:tc>
          <w:tcPr>
            <w:tcW w:w="1891" w:type="dxa"/>
            <w:gridSpan w:val="2"/>
            <w:vAlign w:val="center"/>
          </w:tcPr>
          <w:p>
            <w:pPr>
              <w:autoSpaceDE w:val="0"/>
              <w:autoSpaceDN w:val="0"/>
              <w:spacing w:before="60" w:beforeLines="25" w:after="60" w:afterLines="25" w:line="360" w:lineRule="auto"/>
              <w:jc w:val="center"/>
              <w:textAlignment w:val="bottom"/>
              <w:rPr>
                <w:rFonts w:ascii="宋体" w:hAnsi="宋体" w:cs="宋体"/>
                <w:sz w:val="24"/>
              </w:rPr>
            </w:pPr>
            <w:r>
              <w:rPr>
                <w:rFonts w:hint="eastAsia" w:ascii="宋体" w:hAnsi="宋体" w:cs="宋体"/>
                <w:sz w:val="24"/>
              </w:rPr>
              <w:t>从事类似工作年限</w:t>
            </w:r>
          </w:p>
        </w:tc>
        <w:tc>
          <w:tcPr>
            <w:tcW w:w="1678" w:type="dxa"/>
            <w:gridSpan w:val="2"/>
          </w:tcPr>
          <w:p>
            <w:pPr>
              <w:autoSpaceDE w:val="0"/>
              <w:autoSpaceDN w:val="0"/>
              <w:spacing w:before="60" w:beforeLines="25" w:after="60" w:afterLines="25" w:line="360" w:lineRule="auto"/>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8" w:hRule="atLeast"/>
        </w:trPr>
        <w:tc>
          <w:tcPr>
            <w:tcW w:w="1241" w:type="dxa"/>
            <w:vAlign w:val="center"/>
          </w:tcPr>
          <w:p>
            <w:pPr>
              <w:autoSpaceDE w:val="0"/>
              <w:autoSpaceDN w:val="0"/>
              <w:spacing w:before="60" w:beforeLines="25" w:after="60" w:afterLines="25" w:line="360" w:lineRule="auto"/>
              <w:jc w:val="both"/>
              <w:textAlignment w:val="bottom"/>
              <w:rPr>
                <w:rFonts w:ascii="宋体" w:hAnsi="宋体" w:cs="宋体"/>
                <w:sz w:val="24"/>
              </w:rPr>
            </w:pPr>
            <w:r>
              <w:rPr>
                <w:rFonts w:hint="eastAsia" w:ascii="宋体" w:hAnsi="宋体" w:cs="宋体"/>
                <w:sz w:val="24"/>
              </w:rPr>
              <w:t>毕业学校</w:t>
            </w:r>
          </w:p>
        </w:tc>
        <w:tc>
          <w:tcPr>
            <w:tcW w:w="7537" w:type="dxa"/>
            <w:gridSpan w:val="8"/>
            <w:vAlign w:val="center"/>
          </w:tcPr>
          <w:p>
            <w:pPr>
              <w:autoSpaceDE w:val="0"/>
              <w:autoSpaceDN w:val="0"/>
              <w:spacing w:before="60" w:beforeLines="25" w:after="60" w:afterLines="25" w:line="360" w:lineRule="auto"/>
              <w:ind w:left="-187" w:leftChars="-89"/>
              <w:jc w:val="both"/>
              <w:textAlignment w:val="bottom"/>
              <w:rPr>
                <w:rFonts w:ascii="宋体" w:hAnsi="宋体" w:cs="宋体"/>
                <w:sz w:val="24"/>
              </w:rPr>
            </w:pPr>
            <w:r>
              <w:rPr>
                <w:rFonts w:hint="eastAsia" w:ascii="宋体" w:hAnsi="宋体" w:cs="宋体"/>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8778" w:type="dxa"/>
            <w:gridSpan w:val="9"/>
            <w:vAlign w:val="center"/>
          </w:tcPr>
          <w:p>
            <w:pPr>
              <w:autoSpaceDE w:val="0"/>
              <w:autoSpaceDN w:val="0"/>
              <w:spacing w:before="60" w:beforeLines="25" w:after="60" w:afterLines="25" w:line="360" w:lineRule="auto"/>
              <w:jc w:val="both"/>
              <w:textAlignment w:val="bottom"/>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8" w:hRule="atLeast"/>
        </w:trPr>
        <w:tc>
          <w:tcPr>
            <w:tcW w:w="1292" w:type="dxa"/>
            <w:gridSpan w:val="2"/>
            <w:vAlign w:val="center"/>
          </w:tcPr>
          <w:p>
            <w:pPr>
              <w:autoSpaceDE w:val="0"/>
              <w:autoSpaceDN w:val="0"/>
              <w:spacing w:before="60" w:beforeLines="25" w:after="60" w:afterLines="25" w:line="360" w:lineRule="auto"/>
              <w:jc w:val="both"/>
              <w:textAlignment w:val="bottom"/>
              <w:rPr>
                <w:rFonts w:ascii="宋体" w:hAnsi="宋体" w:cs="宋体"/>
                <w:sz w:val="24"/>
              </w:rPr>
            </w:pPr>
            <w:r>
              <w:rPr>
                <w:rFonts w:hint="eastAsia" w:ascii="宋体" w:hAnsi="宋体" w:cs="宋体"/>
                <w:sz w:val="24"/>
              </w:rPr>
              <w:t>时  间</w:t>
            </w:r>
          </w:p>
        </w:tc>
        <w:tc>
          <w:tcPr>
            <w:tcW w:w="4256" w:type="dxa"/>
            <w:gridSpan w:val="4"/>
            <w:vAlign w:val="center"/>
          </w:tcPr>
          <w:p>
            <w:pPr>
              <w:pStyle w:val="183"/>
              <w:adjustRightInd/>
              <w:snapToGrid/>
              <w:spacing w:before="60" w:beforeLines="25" w:after="60" w:afterLines="25" w:line="360" w:lineRule="auto"/>
              <w:jc w:val="both"/>
              <w:textAlignment w:val="bottom"/>
              <w:rPr>
                <w:rFonts w:ascii="宋体" w:hAnsi="宋体" w:cs="宋体"/>
                <w:spacing w:val="0"/>
                <w:kern w:val="2"/>
                <w:sz w:val="24"/>
                <w:szCs w:val="24"/>
              </w:rPr>
            </w:pPr>
            <w:r>
              <w:rPr>
                <w:rFonts w:hint="eastAsia" w:ascii="宋体" w:hAnsi="宋体" w:cs="宋体"/>
                <w:spacing w:val="0"/>
                <w:kern w:val="2"/>
                <w:sz w:val="24"/>
                <w:szCs w:val="24"/>
              </w:rPr>
              <w:t>参加过的类似项目</w:t>
            </w:r>
          </w:p>
        </w:tc>
        <w:tc>
          <w:tcPr>
            <w:tcW w:w="1940" w:type="dxa"/>
            <w:gridSpan w:val="2"/>
            <w:vAlign w:val="center"/>
          </w:tcPr>
          <w:p>
            <w:pPr>
              <w:pStyle w:val="183"/>
              <w:adjustRightInd/>
              <w:snapToGrid/>
              <w:spacing w:before="60" w:beforeLines="25" w:after="60" w:afterLines="25" w:line="360" w:lineRule="auto"/>
              <w:jc w:val="both"/>
              <w:textAlignment w:val="bottom"/>
              <w:rPr>
                <w:rFonts w:ascii="宋体" w:hAnsi="宋体" w:cs="宋体"/>
                <w:spacing w:val="0"/>
                <w:kern w:val="2"/>
                <w:sz w:val="24"/>
                <w:szCs w:val="24"/>
              </w:rPr>
            </w:pPr>
            <w:r>
              <w:rPr>
                <w:rFonts w:hint="eastAsia" w:ascii="宋体" w:hAnsi="宋体" w:cs="宋体"/>
                <w:spacing w:val="0"/>
                <w:kern w:val="2"/>
                <w:sz w:val="24"/>
                <w:szCs w:val="24"/>
              </w:rPr>
              <w:t>担任职务</w:t>
            </w:r>
          </w:p>
        </w:tc>
        <w:tc>
          <w:tcPr>
            <w:tcW w:w="1290" w:type="dxa"/>
            <w:vAlign w:val="center"/>
          </w:tcPr>
          <w:p>
            <w:pPr>
              <w:autoSpaceDE w:val="0"/>
              <w:autoSpaceDN w:val="0"/>
              <w:spacing w:before="60" w:beforeLines="25" w:after="60" w:afterLines="25" w:line="360" w:lineRule="auto"/>
              <w:jc w:val="both"/>
              <w:textAlignment w:val="bottom"/>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360" w:lineRule="auto"/>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360" w:lineRule="auto"/>
              <w:jc w:val="both"/>
              <w:textAlignment w:val="bottom"/>
              <w:rPr>
                <w:rFonts w:ascii="宋体" w:hAnsi="宋体" w:cs="宋体"/>
                <w:sz w:val="24"/>
              </w:rPr>
            </w:pPr>
          </w:p>
        </w:tc>
        <w:tc>
          <w:tcPr>
            <w:tcW w:w="1940" w:type="dxa"/>
            <w:gridSpan w:val="2"/>
          </w:tcPr>
          <w:p>
            <w:pPr>
              <w:autoSpaceDE w:val="0"/>
              <w:autoSpaceDN w:val="0"/>
              <w:spacing w:before="60" w:beforeLines="25" w:after="60" w:afterLines="25" w:line="360" w:lineRule="auto"/>
              <w:jc w:val="both"/>
              <w:textAlignment w:val="bottom"/>
              <w:rPr>
                <w:rFonts w:ascii="宋体" w:hAnsi="宋体" w:cs="宋体"/>
                <w:sz w:val="24"/>
              </w:rPr>
            </w:pPr>
          </w:p>
        </w:tc>
        <w:tc>
          <w:tcPr>
            <w:tcW w:w="1290" w:type="dxa"/>
          </w:tcPr>
          <w:p>
            <w:pPr>
              <w:autoSpaceDE w:val="0"/>
              <w:autoSpaceDN w:val="0"/>
              <w:spacing w:before="60" w:beforeLines="25" w:after="60" w:afterLines="25" w:line="360" w:lineRule="auto"/>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360" w:lineRule="auto"/>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360" w:lineRule="auto"/>
              <w:jc w:val="both"/>
              <w:textAlignment w:val="bottom"/>
              <w:rPr>
                <w:rFonts w:ascii="宋体" w:hAnsi="宋体" w:cs="宋体"/>
                <w:sz w:val="24"/>
              </w:rPr>
            </w:pPr>
          </w:p>
        </w:tc>
        <w:tc>
          <w:tcPr>
            <w:tcW w:w="1940" w:type="dxa"/>
            <w:gridSpan w:val="2"/>
          </w:tcPr>
          <w:p>
            <w:pPr>
              <w:autoSpaceDE w:val="0"/>
              <w:autoSpaceDN w:val="0"/>
              <w:spacing w:before="60" w:beforeLines="25" w:after="60" w:afterLines="25" w:line="360" w:lineRule="auto"/>
              <w:jc w:val="both"/>
              <w:textAlignment w:val="bottom"/>
              <w:rPr>
                <w:rFonts w:ascii="宋体" w:hAnsi="宋体" w:cs="宋体"/>
                <w:sz w:val="24"/>
              </w:rPr>
            </w:pPr>
          </w:p>
        </w:tc>
        <w:tc>
          <w:tcPr>
            <w:tcW w:w="1290" w:type="dxa"/>
          </w:tcPr>
          <w:p>
            <w:pPr>
              <w:autoSpaceDE w:val="0"/>
              <w:autoSpaceDN w:val="0"/>
              <w:spacing w:before="60" w:beforeLines="25" w:after="60" w:afterLines="25" w:line="360" w:lineRule="auto"/>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360" w:lineRule="auto"/>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360" w:lineRule="auto"/>
              <w:jc w:val="both"/>
              <w:textAlignment w:val="bottom"/>
              <w:rPr>
                <w:rFonts w:ascii="宋体" w:hAnsi="宋体" w:cs="宋体"/>
                <w:sz w:val="24"/>
              </w:rPr>
            </w:pPr>
          </w:p>
        </w:tc>
        <w:tc>
          <w:tcPr>
            <w:tcW w:w="1940" w:type="dxa"/>
            <w:gridSpan w:val="2"/>
          </w:tcPr>
          <w:p>
            <w:pPr>
              <w:autoSpaceDE w:val="0"/>
              <w:autoSpaceDN w:val="0"/>
              <w:spacing w:before="60" w:beforeLines="25" w:after="60" w:afterLines="25" w:line="360" w:lineRule="auto"/>
              <w:jc w:val="both"/>
              <w:textAlignment w:val="bottom"/>
              <w:rPr>
                <w:rFonts w:ascii="宋体" w:hAnsi="宋体" w:cs="宋体"/>
                <w:sz w:val="24"/>
              </w:rPr>
            </w:pPr>
          </w:p>
        </w:tc>
        <w:tc>
          <w:tcPr>
            <w:tcW w:w="1290" w:type="dxa"/>
          </w:tcPr>
          <w:p>
            <w:pPr>
              <w:autoSpaceDE w:val="0"/>
              <w:autoSpaceDN w:val="0"/>
              <w:spacing w:before="60" w:beforeLines="25" w:after="60" w:afterLines="25" w:line="360" w:lineRule="auto"/>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360" w:lineRule="auto"/>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360" w:lineRule="auto"/>
              <w:jc w:val="both"/>
              <w:textAlignment w:val="bottom"/>
              <w:rPr>
                <w:rFonts w:ascii="宋体" w:hAnsi="宋体" w:cs="宋体"/>
                <w:sz w:val="24"/>
              </w:rPr>
            </w:pPr>
          </w:p>
        </w:tc>
        <w:tc>
          <w:tcPr>
            <w:tcW w:w="1940" w:type="dxa"/>
            <w:gridSpan w:val="2"/>
          </w:tcPr>
          <w:p>
            <w:pPr>
              <w:autoSpaceDE w:val="0"/>
              <w:autoSpaceDN w:val="0"/>
              <w:spacing w:before="60" w:beforeLines="25" w:after="60" w:afterLines="25" w:line="360" w:lineRule="auto"/>
              <w:jc w:val="both"/>
              <w:textAlignment w:val="bottom"/>
              <w:rPr>
                <w:rFonts w:ascii="宋体" w:hAnsi="宋体" w:cs="宋体"/>
                <w:sz w:val="24"/>
              </w:rPr>
            </w:pPr>
          </w:p>
        </w:tc>
        <w:tc>
          <w:tcPr>
            <w:tcW w:w="1290" w:type="dxa"/>
          </w:tcPr>
          <w:p>
            <w:pPr>
              <w:autoSpaceDE w:val="0"/>
              <w:autoSpaceDN w:val="0"/>
              <w:spacing w:before="60" w:beforeLines="25" w:after="60" w:afterLines="25" w:line="360" w:lineRule="auto"/>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trPr>
        <w:tc>
          <w:tcPr>
            <w:tcW w:w="1292" w:type="dxa"/>
            <w:gridSpan w:val="2"/>
            <w:vAlign w:val="center"/>
          </w:tcPr>
          <w:p>
            <w:pPr>
              <w:autoSpaceDE w:val="0"/>
              <w:autoSpaceDN w:val="0"/>
              <w:spacing w:before="60" w:beforeLines="25" w:after="60" w:afterLines="25" w:line="360" w:lineRule="auto"/>
              <w:jc w:val="both"/>
              <w:textAlignment w:val="bottom"/>
              <w:rPr>
                <w:rFonts w:ascii="宋体" w:hAnsi="宋体" w:cs="宋体"/>
                <w:sz w:val="24"/>
              </w:rPr>
            </w:pPr>
          </w:p>
        </w:tc>
        <w:tc>
          <w:tcPr>
            <w:tcW w:w="4256" w:type="dxa"/>
            <w:gridSpan w:val="4"/>
            <w:vAlign w:val="center"/>
          </w:tcPr>
          <w:p>
            <w:pPr>
              <w:autoSpaceDE w:val="0"/>
              <w:autoSpaceDN w:val="0"/>
              <w:spacing w:before="60" w:beforeLines="25" w:after="60" w:afterLines="25" w:line="360" w:lineRule="auto"/>
              <w:jc w:val="both"/>
              <w:textAlignment w:val="bottom"/>
              <w:rPr>
                <w:rFonts w:ascii="宋体" w:hAnsi="宋体" w:cs="宋体"/>
                <w:sz w:val="24"/>
              </w:rPr>
            </w:pPr>
          </w:p>
        </w:tc>
        <w:tc>
          <w:tcPr>
            <w:tcW w:w="1940" w:type="dxa"/>
            <w:gridSpan w:val="2"/>
          </w:tcPr>
          <w:p>
            <w:pPr>
              <w:autoSpaceDE w:val="0"/>
              <w:autoSpaceDN w:val="0"/>
              <w:spacing w:before="60" w:beforeLines="25" w:after="60" w:afterLines="25" w:line="360" w:lineRule="auto"/>
              <w:jc w:val="both"/>
              <w:textAlignment w:val="bottom"/>
              <w:rPr>
                <w:rFonts w:ascii="宋体" w:hAnsi="宋体" w:cs="宋体"/>
                <w:sz w:val="24"/>
              </w:rPr>
            </w:pPr>
          </w:p>
        </w:tc>
        <w:tc>
          <w:tcPr>
            <w:tcW w:w="1290" w:type="dxa"/>
          </w:tcPr>
          <w:p>
            <w:pPr>
              <w:autoSpaceDE w:val="0"/>
              <w:autoSpaceDN w:val="0"/>
              <w:spacing w:before="60" w:beforeLines="25" w:after="60" w:afterLines="25" w:line="360" w:lineRule="auto"/>
              <w:jc w:val="both"/>
              <w:textAlignment w:val="bottom"/>
              <w:rPr>
                <w:rFonts w:ascii="宋体" w:hAnsi="宋体" w:cs="宋体"/>
                <w:sz w:val="24"/>
              </w:rPr>
            </w:pPr>
          </w:p>
        </w:tc>
      </w:tr>
    </w:tbl>
    <w:p>
      <w:pPr>
        <w:numPr>
          <w:ilvl w:val="0"/>
          <w:numId w:val="0"/>
        </w:numPr>
        <w:spacing w:line="360" w:lineRule="auto"/>
        <w:ind w:left="210" w:leftChars="0"/>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w:t>
      </w:r>
      <w:r>
        <w:rPr>
          <w:rFonts w:cs="仿宋" w:asciiTheme="minorEastAsia" w:hAnsiTheme="minorEastAsia" w:eastAsiaTheme="minorEastAsia"/>
          <w:sz w:val="24"/>
        </w:rPr>
        <w:t>4</w:t>
      </w:r>
      <w:r>
        <w:rPr>
          <w:rFonts w:hint="eastAsia" w:cs="仿宋" w:asciiTheme="minorEastAsia" w:hAnsiTheme="minorEastAsia" w:eastAsiaTheme="minorEastAsia"/>
          <w:sz w:val="24"/>
        </w:rPr>
        <w:t>项的要求在本表后附相关证明材料。</w:t>
      </w:r>
    </w:p>
    <w:p>
      <w:pPr>
        <w:pStyle w:val="2"/>
        <w:ind w:left="0" w:leftChars="0" w:firstLine="0" w:firstLineChars="0"/>
        <w:rPr>
          <w:rFonts w:hint="default" w:eastAsiaTheme="minorEastAsia"/>
          <w:lang w:val="en-US" w:eastAsia="zh-CN"/>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lang w:val="en-US" w:eastAsia="zh-CN"/>
        </w:rPr>
        <w:t>五</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lang w:val="en-US" w:eastAsia="zh-CN"/>
        </w:rPr>
        <w:t>现场踏勘证明文件</w:t>
      </w:r>
    </w:p>
    <w:p>
      <w:pPr>
        <w:rPr>
          <w:rFonts w:hint="eastAsia" w:ascii="黑体" w:hAnsi="黑体" w:eastAsia="黑体" w:cs="仿宋"/>
          <w:sz w:val="36"/>
          <w:szCs w:val="36"/>
        </w:rPr>
      </w:pPr>
      <w:bookmarkStart w:id="51" w:name="_Toc31152"/>
      <w:r>
        <w:rPr>
          <w:rFonts w:hint="eastAsia" w:ascii="黑体" w:hAnsi="黑体" w:eastAsia="黑体" w:cs="仿宋"/>
          <w:sz w:val="36"/>
          <w:szCs w:val="36"/>
        </w:rPr>
        <w:br w:type="page"/>
      </w:r>
    </w:p>
    <w:p>
      <w:pPr>
        <w:adjustRightInd w:val="0"/>
        <w:snapToGrid w:val="0"/>
        <w:spacing w:line="360" w:lineRule="auto"/>
        <w:jc w:val="center"/>
        <w:outlineLvl w:val="0"/>
        <w:rPr>
          <w:rFonts w:ascii="黑体" w:hAnsi="黑体" w:eastAsia="黑体" w:cs="仿宋"/>
          <w:sz w:val="36"/>
          <w:szCs w:val="36"/>
        </w:rPr>
      </w:pPr>
      <w:r>
        <w:rPr>
          <w:rFonts w:hint="eastAsia" w:ascii="黑体" w:hAnsi="黑体" w:eastAsia="黑体" w:cs="仿宋"/>
          <w:sz w:val="36"/>
          <w:szCs w:val="36"/>
        </w:rPr>
        <w:t>六、响应方案</w:t>
      </w:r>
      <w:bookmarkEnd w:id="51"/>
    </w:p>
    <w:p>
      <w:pPr>
        <w:pStyle w:val="2"/>
        <w:spacing w:line="360" w:lineRule="auto"/>
      </w:pPr>
    </w:p>
    <w:p>
      <w:p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(一)货物质量标准或技术性能指标的详细描述</w:t>
      </w:r>
    </w:p>
    <w:p>
      <w:p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注：主要材料和关键部件有外购的，应在此部分详细说明外购的主要材料和关键部件名称、型号规格或主要技术性能参数、制造商名称、制造商地址等信息。可结合第三章“评审办法”和第五章“采购需求”中的要求进行响应）</w:t>
      </w:r>
    </w:p>
    <w:p>
      <w:pPr>
        <w:numPr>
          <w:ilvl w:val="0"/>
          <w:numId w:val="9"/>
        </w:num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技术支持资料（可结合第三章“评审办法”和第五章“采购需求”中的要求进行响应）</w:t>
      </w:r>
    </w:p>
    <w:p>
      <w:pPr>
        <w:numPr>
          <w:ilvl w:val="0"/>
          <w:numId w:val="9"/>
        </w:num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相关服务计划（可结合第三章“评审办法”和第五章“采购需求”中的要求进行响应）</w:t>
      </w:r>
    </w:p>
    <w:p>
      <w:pPr>
        <w:spacing w:line="360" w:lineRule="auto"/>
        <w:rPr>
          <w:rFonts w:ascii="黑体" w:hAnsi="黑体" w:eastAsia="黑体" w:cs="仿宋"/>
          <w:sz w:val="36"/>
          <w:szCs w:val="36"/>
        </w:rPr>
      </w:pPr>
      <w:bookmarkStart w:id="52" w:name="_Toc5214"/>
      <w:r>
        <w:rPr>
          <w:rFonts w:hint="eastAsia" w:ascii="黑体" w:hAnsi="黑体" w:eastAsia="黑体" w:cs="仿宋"/>
          <w:sz w:val="36"/>
          <w:szCs w:val="36"/>
        </w:rPr>
        <w:br w:type="page"/>
      </w:r>
    </w:p>
    <w:p>
      <w:pPr>
        <w:adjustRightInd w:val="0"/>
        <w:snapToGrid w:val="0"/>
        <w:spacing w:line="360" w:lineRule="auto"/>
        <w:jc w:val="center"/>
        <w:outlineLvl w:val="0"/>
        <w:rPr>
          <w:rFonts w:ascii="黑体" w:hAnsi="黑体" w:eastAsia="黑体" w:cs="仿宋"/>
          <w:sz w:val="36"/>
          <w:szCs w:val="36"/>
        </w:rPr>
      </w:pPr>
      <w:r>
        <w:rPr>
          <w:rFonts w:hint="eastAsia" w:ascii="黑体" w:hAnsi="黑体" w:eastAsia="黑体" w:cs="仿宋"/>
          <w:sz w:val="36"/>
          <w:szCs w:val="36"/>
        </w:rPr>
        <w:t>七、其他资料</w:t>
      </w:r>
      <w:bookmarkEnd w:id="52"/>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360" w:lineRule="auto"/>
        <w:jc w:val="both"/>
      </w:pPr>
    </w:p>
    <w:sectPr>
      <w:footerReference r:id="rId7" w:type="default"/>
      <w:pgSz w:w="11906" w:h="16838"/>
      <w:pgMar w:top="1440" w:right="1800" w:bottom="1440" w:left="180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82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tabs>
                              <w:tab w:val="center" w:pos="4153"/>
                              <w:tab w:val="right" w:pos="8306"/>
                            </w:tabs>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5"/>
                      <w:tabs>
                        <w:tab w:val="center" w:pos="4153"/>
                        <w:tab w:val="right" w:pos="8306"/>
                      </w:tabs>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5"/>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53</w:t>
        </w:r>
        <w:r>
          <w:rPr>
            <w:sz w:val="20"/>
          </w:rPr>
          <w:fldChar w:fldCharType="end"/>
        </w:r>
      </w:p>
    </w:sdtContent>
  </w:sdt>
  <w:p>
    <w:pPr>
      <w:pStyle w:val="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pPr>
      <w:r>
        <w:separator/>
      </w:r>
    </w:p>
  </w:footnote>
  <w:footnote w:type="continuationSeparator" w:id="3">
    <w:p>
      <w:pPr>
        <w:spacing w:line="240" w:lineRule="auto"/>
      </w:pPr>
      <w:r>
        <w:continuationSeparator/>
      </w:r>
    </w:p>
  </w:footnote>
  <w:footnote w:id="0">
    <w:p>
      <w:pPr>
        <w:pStyle w:val="29"/>
        <w:suppressLineNumbers/>
        <w:ind w:left="0" w:firstLine="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4F155"/>
    <w:multiLevelType w:val="singleLevel"/>
    <w:tmpl w:val="9234F155"/>
    <w:lvl w:ilvl="0" w:tentative="0">
      <w:start w:val="2"/>
      <w:numFmt w:val="chineseCounting"/>
      <w:suff w:val="space"/>
      <w:lvlText w:val="第%1部分"/>
      <w:lvlJc w:val="left"/>
      <w:rPr>
        <w:rFonts w:hint="eastAsia"/>
      </w:rPr>
    </w:lvl>
  </w:abstractNum>
  <w:abstractNum w:abstractNumId="1">
    <w:nsid w:val="AD7C748C"/>
    <w:multiLevelType w:val="singleLevel"/>
    <w:tmpl w:val="AD7C748C"/>
    <w:lvl w:ilvl="0" w:tentative="0">
      <w:start w:val="1"/>
      <w:numFmt w:val="decimal"/>
      <w:suff w:val="nothing"/>
      <w:lvlText w:val="%1、"/>
      <w:lvlJc w:val="left"/>
    </w:lvl>
  </w:abstractNum>
  <w:abstractNum w:abstractNumId="2">
    <w:nsid w:val="BE15A2A9"/>
    <w:multiLevelType w:val="singleLevel"/>
    <w:tmpl w:val="BE15A2A9"/>
    <w:lvl w:ilvl="0" w:tentative="0">
      <w:start w:val="2"/>
      <w:numFmt w:val="chineseCounting"/>
      <w:suff w:val="nothing"/>
      <w:lvlText w:val="（%1）"/>
      <w:lvlJc w:val="left"/>
      <w:rPr>
        <w:rFonts w:hint="eastAsia"/>
      </w:rPr>
    </w:lvl>
  </w:abstractNum>
  <w:abstractNum w:abstractNumId="3">
    <w:nsid w:val="DBA4F26E"/>
    <w:multiLevelType w:val="singleLevel"/>
    <w:tmpl w:val="DBA4F26E"/>
    <w:lvl w:ilvl="0" w:tentative="0">
      <w:start w:val="1"/>
      <w:numFmt w:val="decimal"/>
      <w:suff w:val="nothing"/>
      <w:lvlText w:val="（%1）"/>
      <w:lvlJc w:val="left"/>
    </w:lvl>
  </w:abstractNum>
  <w:abstractNum w:abstractNumId="4">
    <w:nsid w:val="03ECED67"/>
    <w:multiLevelType w:val="singleLevel"/>
    <w:tmpl w:val="03ECED67"/>
    <w:lvl w:ilvl="0" w:tentative="0">
      <w:start w:val="4"/>
      <w:numFmt w:val="decimal"/>
      <w:lvlText w:val="%1."/>
      <w:lvlJc w:val="left"/>
      <w:pPr>
        <w:tabs>
          <w:tab w:val="left" w:pos="312"/>
        </w:tabs>
      </w:pPr>
    </w:lvl>
  </w:abstractNum>
  <w:abstractNum w:abstractNumId="5">
    <w:nsid w:val="3601A173"/>
    <w:multiLevelType w:val="singleLevel"/>
    <w:tmpl w:val="3601A173"/>
    <w:lvl w:ilvl="0" w:tentative="0">
      <w:start w:val="1"/>
      <w:numFmt w:val="chineseCounting"/>
      <w:suff w:val="nothing"/>
      <w:lvlText w:val="%1、"/>
      <w:lvlJc w:val="left"/>
      <w:rPr>
        <w:rFonts w:hint="eastAsia"/>
      </w:rPr>
    </w:lvl>
  </w:abstractNum>
  <w:abstractNum w:abstractNumId="6">
    <w:nsid w:val="40AC5C69"/>
    <w:multiLevelType w:val="singleLevel"/>
    <w:tmpl w:val="40AC5C69"/>
    <w:lvl w:ilvl="0" w:tentative="0">
      <w:start w:val="1"/>
      <w:numFmt w:val="chineseCounting"/>
      <w:suff w:val="nothing"/>
      <w:lvlText w:val="%1、"/>
      <w:lvlJc w:val="left"/>
      <w:rPr>
        <w:rFonts w:hint="eastAsia"/>
      </w:rPr>
    </w:lvl>
  </w:abstractNum>
  <w:abstractNum w:abstractNumId="7">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D8D6733"/>
    <w:multiLevelType w:val="singleLevel"/>
    <w:tmpl w:val="7D8D6733"/>
    <w:lvl w:ilvl="0" w:tentative="0">
      <w:start w:val="1"/>
      <w:numFmt w:val="decimal"/>
      <w:suff w:val="nothing"/>
      <w:lvlText w:val="%1、"/>
      <w:lvlJc w:val="left"/>
    </w:lvl>
  </w:abstractNum>
  <w:num w:numId="1">
    <w:abstractNumId w:val="7"/>
  </w:num>
  <w:num w:numId="2">
    <w:abstractNumId w:val="3"/>
  </w:num>
  <w:num w:numId="3">
    <w:abstractNumId w:val="6"/>
  </w:num>
  <w:num w:numId="4">
    <w:abstractNumId w:val="1"/>
  </w:num>
  <w:num w:numId="5">
    <w:abstractNumId w:val="8"/>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dit="trackedChanges" w:formatting="1" w:enforcement="0"/>
  <w:defaultTabStop w:val="420"/>
  <w:drawingGridVerticalSpacing w:val="156"/>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VlYWNlMGY2NGI4YzZiOGZiMTFkOTgyOWY1MDA0M2MifQ=="/>
  </w:docVars>
  <w:rsids>
    <w:rsidRoot w:val="00124EA9"/>
    <w:rsid w:val="000021E0"/>
    <w:rsid w:val="00002637"/>
    <w:rsid w:val="00004047"/>
    <w:rsid w:val="00010F56"/>
    <w:rsid w:val="00024612"/>
    <w:rsid w:val="00030DDC"/>
    <w:rsid w:val="00044051"/>
    <w:rsid w:val="00045372"/>
    <w:rsid w:val="00045996"/>
    <w:rsid w:val="00047744"/>
    <w:rsid w:val="00053E1B"/>
    <w:rsid w:val="00064F24"/>
    <w:rsid w:val="00072ECA"/>
    <w:rsid w:val="00077817"/>
    <w:rsid w:val="00080B47"/>
    <w:rsid w:val="000A0047"/>
    <w:rsid w:val="000A7926"/>
    <w:rsid w:val="000B4936"/>
    <w:rsid w:val="000C36A4"/>
    <w:rsid w:val="000C4E44"/>
    <w:rsid w:val="000C5689"/>
    <w:rsid w:val="000D1E64"/>
    <w:rsid w:val="000D1EAB"/>
    <w:rsid w:val="000D2942"/>
    <w:rsid w:val="000D3831"/>
    <w:rsid w:val="000D3A07"/>
    <w:rsid w:val="000E49D3"/>
    <w:rsid w:val="000E5829"/>
    <w:rsid w:val="000F2F60"/>
    <w:rsid w:val="000F3D59"/>
    <w:rsid w:val="000F65C5"/>
    <w:rsid w:val="00101210"/>
    <w:rsid w:val="00111AE0"/>
    <w:rsid w:val="00120C57"/>
    <w:rsid w:val="00123C9C"/>
    <w:rsid w:val="00124EA9"/>
    <w:rsid w:val="00133753"/>
    <w:rsid w:val="00141109"/>
    <w:rsid w:val="00141200"/>
    <w:rsid w:val="001421A1"/>
    <w:rsid w:val="0014231F"/>
    <w:rsid w:val="001429F5"/>
    <w:rsid w:val="00144A0B"/>
    <w:rsid w:val="001452A3"/>
    <w:rsid w:val="0014582C"/>
    <w:rsid w:val="00145953"/>
    <w:rsid w:val="00146D1A"/>
    <w:rsid w:val="00155F5F"/>
    <w:rsid w:val="00156069"/>
    <w:rsid w:val="0016577A"/>
    <w:rsid w:val="00172E5F"/>
    <w:rsid w:val="00175066"/>
    <w:rsid w:val="00186D78"/>
    <w:rsid w:val="00191835"/>
    <w:rsid w:val="0019308B"/>
    <w:rsid w:val="001A1831"/>
    <w:rsid w:val="001A483F"/>
    <w:rsid w:val="001A77A4"/>
    <w:rsid w:val="001B2C90"/>
    <w:rsid w:val="001B336A"/>
    <w:rsid w:val="001B6EA9"/>
    <w:rsid w:val="001B79F4"/>
    <w:rsid w:val="001C4745"/>
    <w:rsid w:val="001C74F9"/>
    <w:rsid w:val="001D03F9"/>
    <w:rsid w:val="001D347A"/>
    <w:rsid w:val="001E19E5"/>
    <w:rsid w:val="001F21F9"/>
    <w:rsid w:val="001F28D4"/>
    <w:rsid w:val="001F55EE"/>
    <w:rsid w:val="001F7D01"/>
    <w:rsid w:val="00200C8B"/>
    <w:rsid w:val="0020642B"/>
    <w:rsid w:val="00210B19"/>
    <w:rsid w:val="0021628B"/>
    <w:rsid w:val="002162BF"/>
    <w:rsid w:val="00240105"/>
    <w:rsid w:val="00243CE0"/>
    <w:rsid w:val="00244E9B"/>
    <w:rsid w:val="0026094B"/>
    <w:rsid w:val="00273B9E"/>
    <w:rsid w:val="00277813"/>
    <w:rsid w:val="00281C9C"/>
    <w:rsid w:val="002832EF"/>
    <w:rsid w:val="0028390B"/>
    <w:rsid w:val="00292A27"/>
    <w:rsid w:val="00295840"/>
    <w:rsid w:val="002A13A6"/>
    <w:rsid w:val="002A3283"/>
    <w:rsid w:val="002A329A"/>
    <w:rsid w:val="002A3646"/>
    <w:rsid w:val="002A69B8"/>
    <w:rsid w:val="002B10BE"/>
    <w:rsid w:val="002B225E"/>
    <w:rsid w:val="002B7746"/>
    <w:rsid w:val="002B7B11"/>
    <w:rsid w:val="002D3DCC"/>
    <w:rsid w:val="002D460A"/>
    <w:rsid w:val="002E1D5F"/>
    <w:rsid w:val="002E6ECD"/>
    <w:rsid w:val="002F4C12"/>
    <w:rsid w:val="003010D2"/>
    <w:rsid w:val="0031048F"/>
    <w:rsid w:val="00314E9E"/>
    <w:rsid w:val="00320A6F"/>
    <w:rsid w:val="003220EE"/>
    <w:rsid w:val="003276E9"/>
    <w:rsid w:val="00331CB4"/>
    <w:rsid w:val="00333AC7"/>
    <w:rsid w:val="003346E3"/>
    <w:rsid w:val="00335C6C"/>
    <w:rsid w:val="00340982"/>
    <w:rsid w:val="00341BE1"/>
    <w:rsid w:val="00343219"/>
    <w:rsid w:val="00350A2A"/>
    <w:rsid w:val="003536C1"/>
    <w:rsid w:val="003577BF"/>
    <w:rsid w:val="00363E54"/>
    <w:rsid w:val="00371495"/>
    <w:rsid w:val="00386390"/>
    <w:rsid w:val="00386688"/>
    <w:rsid w:val="003921D5"/>
    <w:rsid w:val="00392340"/>
    <w:rsid w:val="003A008A"/>
    <w:rsid w:val="003A21A4"/>
    <w:rsid w:val="003A35E6"/>
    <w:rsid w:val="003A47A2"/>
    <w:rsid w:val="003A6361"/>
    <w:rsid w:val="003A7BE3"/>
    <w:rsid w:val="003B1B7D"/>
    <w:rsid w:val="003C0E8A"/>
    <w:rsid w:val="003C71AC"/>
    <w:rsid w:val="003E7A6F"/>
    <w:rsid w:val="003F3ADB"/>
    <w:rsid w:val="003F5510"/>
    <w:rsid w:val="00417182"/>
    <w:rsid w:val="004179C4"/>
    <w:rsid w:val="004212E9"/>
    <w:rsid w:val="00445025"/>
    <w:rsid w:val="004477E9"/>
    <w:rsid w:val="004528FC"/>
    <w:rsid w:val="004529AE"/>
    <w:rsid w:val="00457F8E"/>
    <w:rsid w:val="00464986"/>
    <w:rsid w:val="00470510"/>
    <w:rsid w:val="004713DC"/>
    <w:rsid w:val="00474349"/>
    <w:rsid w:val="00477005"/>
    <w:rsid w:val="00480E54"/>
    <w:rsid w:val="00482A85"/>
    <w:rsid w:val="0048561B"/>
    <w:rsid w:val="00494772"/>
    <w:rsid w:val="004A08CE"/>
    <w:rsid w:val="004A6BC6"/>
    <w:rsid w:val="004B2465"/>
    <w:rsid w:val="004B24C9"/>
    <w:rsid w:val="004B3E4A"/>
    <w:rsid w:val="004D1DCD"/>
    <w:rsid w:val="004D2DC8"/>
    <w:rsid w:val="004D702E"/>
    <w:rsid w:val="004F03C7"/>
    <w:rsid w:val="004F1CF3"/>
    <w:rsid w:val="004F39A6"/>
    <w:rsid w:val="004F746A"/>
    <w:rsid w:val="004F7BD5"/>
    <w:rsid w:val="004F7F0C"/>
    <w:rsid w:val="0050258D"/>
    <w:rsid w:val="0051116B"/>
    <w:rsid w:val="00514DA0"/>
    <w:rsid w:val="00527EEC"/>
    <w:rsid w:val="005307B3"/>
    <w:rsid w:val="005458F8"/>
    <w:rsid w:val="0054718F"/>
    <w:rsid w:val="00552004"/>
    <w:rsid w:val="0055203E"/>
    <w:rsid w:val="00556615"/>
    <w:rsid w:val="00557CC1"/>
    <w:rsid w:val="00562EC2"/>
    <w:rsid w:val="0057297F"/>
    <w:rsid w:val="0057563C"/>
    <w:rsid w:val="00580488"/>
    <w:rsid w:val="0058176A"/>
    <w:rsid w:val="005864F4"/>
    <w:rsid w:val="005876A1"/>
    <w:rsid w:val="005932FF"/>
    <w:rsid w:val="00594C2D"/>
    <w:rsid w:val="005A1A78"/>
    <w:rsid w:val="005A24DF"/>
    <w:rsid w:val="005A41D3"/>
    <w:rsid w:val="005A59A6"/>
    <w:rsid w:val="005A680C"/>
    <w:rsid w:val="005A70E0"/>
    <w:rsid w:val="005B251E"/>
    <w:rsid w:val="005B4C3F"/>
    <w:rsid w:val="005C42F3"/>
    <w:rsid w:val="005C4BCE"/>
    <w:rsid w:val="005C73CB"/>
    <w:rsid w:val="005D1F74"/>
    <w:rsid w:val="005D3E16"/>
    <w:rsid w:val="005E5529"/>
    <w:rsid w:val="005F29AC"/>
    <w:rsid w:val="005F3C29"/>
    <w:rsid w:val="005F499C"/>
    <w:rsid w:val="00602185"/>
    <w:rsid w:val="00612206"/>
    <w:rsid w:val="006133E6"/>
    <w:rsid w:val="00617F38"/>
    <w:rsid w:val="00630FAA"/>
    <w:rsid w:val="0063785D"/>
    <w:rsid w:val="006417A4"/>
    <w:rsid w:val="006435FD"/>
    <w:rsid w:val="00645395"/>
    <w:rsid w:val="0065638A"/>
    <w:rsid w:val="00656CED"/>
    <w:rsid w:val="00660D70"/>
    <w:rsid w:val="00665B3C"/>
    <w:rsid w:val="00672224"/>
    <w:rsid w:val="00673382"/>
    <w:rsid w:val="00676BDB"/>
    <w:rsid w:val="00686532"/>
    <w:rsid w:val="00690B7C"/>
    <w:rsid w:val="0069324C"/>
    <w:rsid w:val="006A12CE"/>
    <w:rsid w:val="006A499F"/>
    <w:rsid w:val="006B1EC2"/>
    <w:rsid w:val="006B3F31"/>
    <w:rsid w:val="006B4460"/>
    <w:rsid w:val="006C58A5"/>
    <w:rsid w:val="006C735F"/>
    <w:rsid w:val="006D3E72"/>
    <w:rsid w:val="006D4C26"/>
    <w:rsid w:val="006E037A"/>
    <w:rsid w:val="006E0909"/>
    <w:rsid w:val="006E37CB"/>
    <w:rsid w:val="006E4993"/>
    <w:rsid w:val="006E5C39"/>
    <w:rsid w:val="00702A69"/>
    <w:rsid w:val="00704968"/>
    <w:rsid w:val="007265BE"/>
    <w:rsid w:val="00730EB1"/>
    <w:rsid w:val="00734A14"/>
    <w:rsid w:val="00734D60"/>
    <w:rsid w:val="00747724"/>
    <w:rsid w:val="0075237A"/>
    <w:rsid w:val="007555FC"/>
    <w:rsid w:val="007623DE"/>
    <w:rsid w:val="00762B33"/>
    <w:rsid w:val="00767FCD"/>
    <w:rsid w:val="00770FF3"/>
    <w:rsid w:val="00771629"/>
    <w:rsid w:val="00772C0C"/>
    <w:rsid w:val="00773441"/>
    <w:rsid w:val="00773E3D"/>
    <w:rsid w:val="007757B7"/>
    <w:rsid w:val="00784672"/>
    <w:rsid w:val="00784F8A"/>
    <w:rsid w:val="00785C21"/>
    <w:rsid w:val="00785F49"/>
    <w:rsid w:val="00786276"/>
    <w:rsid w:val="007875F9"/>
    <w:rsid w:val="007942F7"/>
    <w:rsid w:val="007964EF"/>
    <w:rsid w:val="007A1B0B"/>
    <w:rsid w:val="007B0B28"/>
    <w:rsid w:val="007C2355"/>
    <w:rsid w:val="007C74E8"/>
    <w:rsid w:val="007D0497"/>
    <w:rsid w:val="007D0B35"/>
    <w:rsid w:val="007D29D4"/>
    <w:rsid w:val="007D3081"/>
    <w:rsid w:val="007E1F23"/>
    <w:rsid w:val="007F0742"/>
    <w:rsid w:val="007F19CD"/>
    <w:rsid w:val="007F3D4A"/>
    <w:rsid w:val="0080745B"/>
    <w:rsid w:val="008103BB"/>
    <w:rsid w:val="00822A51"/>
    <w:rsid w:val="00824B55"/>
    <w:rsid w:val="0082509F"/>
    <w:rsid w:val="00855A14"/>
    <w:rsid w:val="008604C4"/>
    <w:rsid w:val="00867D79"/>
    <w:rsid w:val="008705DF"/>
    <w:rsid w:val="00875E3D"/>
    <w:rsid w:val="008762E6"/>
    <w:rsid w:val="0088359D"/>
    <w:rsid w:val="00883782"/>
    <w:rsid w:val="00892349"/>
    <w:rsid w:val="00892DCC"/>
    <w:rsid w:val="008933B7"/>
    <w:rsid w:val="00896688"/>
    <w:rsid w:val="008A4531"/>
    <w:rsid w:val="008A6664"/>
    <w:rsid w:val="008B2D72"/>
    <w:rsid w:val="008B42C5"/>
    <w:rsid w:val="008B78B9"/>
    <w:rsid w:val="008C623B"/>
    <w:rsid w:val="008D7F55"/>
    <w:rsid w:val="008F1A70"/>
    <w:rsid w:val="008F5A39"/>
    <w:rsid w:val="008F6B51"/>
    <w:rsid w:val="00900DD1"/>
    <w:rsid w:val="0090589A"/>
    <w:rsid w:val="00920EB0"/>
    <w:rsid w:val="009315C2"/>
    <w:rsid w:val="00933ACC"/>
    <w:rsid w:val="00935E41"/>
    <w:rsid w:val="00935ED2"/>
    <w:rsid w:val="00954F74"/>
    <w:rsid w:val="00955643"/>
    <w:rsid w:val="009573B9"/>
    <w:rsid w:val="00965E94"/>
    <w:rsid w:val="009806CA"/>
    <w:rsid w:val="00983877"/>
    <w:rsid w:val="00994A7A"/>
    <w:rsid w:val="00995655"/>
    <w:rsid w:val="009A0692"/>
    <w:rsid w:val="009A1BD2"/>
    <w:rsid w:val="009A24B1"/>
    <w:rsid w:val="009A27C7"/>
    <w:rsid w:val="009A3E48"/>
    <w:rsid w:val="009B084E"/>
    <w:rsid w:val="009B5405"/>
    <w:rsid w:val="009B626F"/>
    <w:rsid w:val="009B66AE"/>
    <w:rsid w:val="009F4860"/>
    <w:rsid w:val="00A02DDD"/>
    <w:rsid w:val="00A05F86"/>
    <w:rsid w:val="00A12741"/>
    <w:rsid w:val="00A15750"/>
    <w:rsid w:val="00A2148B"/>
    <w:rsid w:val="00A21E40"/>
    <w:rsid w:val="00A2462C"/>
    <w:rsid w:val="00A27204"/>
    <w:rsid w:val="00A33D67"/>
    <w:rsid w:val="00A3767B"/>
    <w:rsid w:val="00A41388"/>
    <w:rsid w:val="00A458A9"/>
    <w:rsid w:val="00A477C0"/>
    <w:rsid w:val="00A507DC"/>
    <w:rsid w:val="00A54E02"/>
    <w:rsid w:val="00A60003"/>
    <w:rsid w:val="00A67EC8"/>
    <w:rsid w:val="00A74225"/>
    <w:rsid w:val="00A81F80"/>
    <w:rsid w:val="00A828F1"/>
    <w:rsid w:val="00A85998"/>
    <w:rsid w:val="00A868EF"/>
    <w:rsid w:val="00A906E2"/>
    <w:rsid w:val="00AA0F15"/>
    <w:rsid w:val="00AA7F83"/>
    <w:rsid w:val="00AB19D8"/>
    <w:rsid w:val="00AB1EA4"/>
    <w:rsid w:val="00AB29AD"/>
    <w:rsid w:val="00AB5270"/>
    <w:rsid w:val="00AC32CB"/>
    <w:rsid w:val="00AD2A48"/>
    <w:rsid w:val="00AD2C8A"/>
    <w:rsid w:val="00AD2D10"/>
    <w:rsid w:val="00AD317E"/>
    <w:rsid w:val="00AD6819"/>
    <w:rsid w:val="00AE15F3"/>
    <w:rsid w:val="00AF0660"/>
    <w:rsid w:val="00AF3572"/>
    <w:rsid w:val="00AF4CC2"/>
    <w:rsid w:val="00B01BCC"/>
    <w:rsid w:val="00B01FD9"/>
    <w:rsid w:val="00B15494"/>
    <w:rsid w:val="00B25D89"/>
    <w:rsid w:val="00B3664B"/>
    <w:rsid w:val="00B439A9"/>
    <w:rsid w:val="00B4446C"/>
    <w:rsid w:val="00B46918"/>
    <w:rsid w:val="00B60605"/>
    <w:rsid w:val="00B64A25"/>
    <w:rsid w:val="00B6591E"/>
    <w:rsid w:val="00B65A61"/>
    <w:rsid w:val="00B66C84"/>
    <w:rsid w:val="00B7370A"/>
    <w:rsid w:val="00B807DD"/>
    <w:rsid w:val="00B80BE7"/>
    <w:rsid w:val="00B80E8F"/>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05F9"/>
    <w:rsid w:val="00BD7A21"/>
    <w:rsid w:val="00BF2669"/>
    <w:rsid w:val="00C03C07"/>
    <w:rsid w:val="00C12666"/>
    <w:rsid w:val="00C14B63"/>
    <w:rsid w:val="00C16814"/>
    <w:rsid w:val="00C22565"/>
    <w:rsid w:val="00C45D6E"/>
    <w:rsid w:val="00C52E06"/>
    <w:rsid w:val="00C53A90"/>
    <w:rsid w:val="00C54AC5"/>
    <w:rsid w:val="00C63AEE"/>
    <w:rsid w:val="00C63E4B"/>
    <w:rsid w:val="00C7182C"/>
    <w:rsid w:val="00C74C1B"/>
    <w:rsid w:val="00C80A31"/>
    <w:rsid w:val="00C90864"/>
    <w:rsid w:val="00C938B5"/>
    <w:rsid w:val="00C94DBF"/>
    <w:rsid w:val="00CB2271"/>
    <w:rsid w:val="00CB35D3"/>
    <w:rsid w:val="00CB4A8E"/>
    <w:rsid w:val="00CC5CBC"/>
    <w:rsid w:val="00CD3D38"/>
    <w:rsid w:val="00CE020B"/>
    <w:rsid w:val="00CE71D2"/>
    <w:rsid w:val="00CE7226"/>
    <w:rsid w:val="00CE7D8E"/>
    <w:rsid w:val="00CF36EE"/>
    <w:rsid w:val="00D059EE"/>
    <w:rsid w:val="00D05E32"/>
    <w:rsid w:val="00D11238"/>
    <w:rsid w:val="00D1153C"/>
    <w:rsid w:val="00D1160E"/>
    <w:rsid w:val="00D1328D"/>
    <w:rsid w:val="00D224C6"/>
    <w:rsid w:val="00D22617"/>
    <w:rsid w:val="00D26E74"/>
    <w:rsid w:val="00D27461"/>
    <w:rsid w:val="00D30D7D"/>
    <w:rsid w:val="00D31C12"/>
    <w:rsid w:val="00D32AD3"/>
    <w:rsid w:val="00D35B47"/>
    <w:rsid w:val="00D44DE9"/>
    <w:rsid w:val="00D4514A"/>
    <w:rsid w:val="00D468D6"/>
    <w:rsid w:val="00D477D3"/>
    <w:rsid w:val="00D50CFA"/>
    <w:rsid w:val="00D52D42"/>
    <w:rsid w:val="00D5313A"/>
    <w:rsid w:val="00D56D4E"/>
    <w:rsid w:val="00D74031"/>
    <w:rsid w:val="00D812B2"/>
    <w:rsid w:val="00D841AD"/>
    <w:rsid w:val="00D86B1B"/>
    <w:rsid w:val="00D87D62"/>
    <w:rsid w:val="00D90F37"/>
    <w:rsid w:val="00D92EB2"/>
    <w:rsid w:val="00D962D6"/>
    <w:rsid w:val="00DA2E85"/>
    <w:rsid w:val="00DA3A70"/>
    <w:rsid w:val="00DA6572"/>
    <w:rsid w:val="00DA7472"/>
    <w:rsid w:val="00DB2007"/>
    <w:rsid w:val="00DC2A18"/>
    <w:rsid w:val="00DC3790"/>
    <w:rsid w:val="00DC5E6F"/>
    <w:rsid w:val="00DC758D"/>
    <w:rsid w:val="00DD02EC"/>
    <w:rsid w:val="00DD03AC"/>
    <w:rsid w:val="00DD081E"/>
    <w:rsid w:val="00DD3E1E"/>
    <w:rsid w:val="00DD63AD"/>
    <w:rsid w:val="00DD7197"/>
    <w:rsid w:val="00DE7913"/>
    <w:rsid w:val="00DF2B35"/>
    <w:rsid w:val="00E006FA"/>
    <w:rsid w:val="00E07092"/>
    <w:rsid w:val="00E10A95"/>
    <w:rsid w:val="00E25112"/>
    <w:rsid w:val="00E263FD"/>
    <w:rsid w:val="00E27A81"/>
    <w:rsid w:val="00E30201"/>
    <w:rsid w:val="00E32458"/>
    <w:rsid w:val="00E37EA1"/>
    <w:rsid w:val="00E44E6A"/>
    <w:rsid w:val="00E5145F"/>
    <w:rsid w:val="00E5459C"/>
    <w:rsid w:val="00E5509F"/>
    <w:rsid w:val="00E61B4A"/>
    <w:rsid w:val="00E65DCA"/>
    <w:rsid w:val="00E828A3"/>
    <w:rsid w:val="00E839E1"/>
    <w:rsid w:val="00E8703F"/>
    <w:rsid w:val="00EA284D"/>
    <w:rsid w:val="00EA3253"/>
    <w:rsid w:val="00EB0861"/>
    <w:rsid w:val="00EB21C0"/>
    <w:rsid w:val="00EB3032"/>
    <w:rsid w:val="00EB36F8"/>
    <w:rsid w:val="00EB3D32"/>
    <w:rsid w:val="00EC1A38"/>
    <w:rsid w:val="00EC394D"/>
    <w:rsid w:val="00EC5AF3"/>
    <w:rsid w:val="00ED07DA"/>
    <w:rsid w:val="00EE6D49"/>
    <w:rsid w:val="00EE75AA"/>
    <w:rsid w:val="00F014DF"/>
    <w:rsid w:val="00F056D4"/>
    <w:rsid w:val="00F067FF"/>
    <w:rsid w:val="00F138CF"/>
    <w:rsid w:val="00F17C9D"/>
    <w:rsid w:val="00F31726"/>
    <w:rsid w:val="00F343CC"/>
    <w:rsid w:val="00F40991"/>
    <w:rsid w:val="00F434C7"/>
    <w:rsid w:val="00F449A4"/>
    <w:rsid w:val="00F51761"/>
    <w:rsid w:val="00F51B37"/>
    <w:rsid w:val="00F552F8"/>
    <w:rsid w:val="00F725CC"/>
    <w:rsid w:val="00F7298B"/>
    <w:rsid w:val="00F76C2C"/>
    <w:rsid w:val="00F86C0E"/>
    <w:rsid w:val="00F93C34"/>
    <w:rsid w:val="00FA688E"/>
    <w:rsid w:val="00FB7FEC"/>
    <w:rsid w:val="00FC09A8"/>
    <w:rsid w:val="00FC0CDA"/>
    <w:rsid w:val="00FC2557"/>
    <w:rsid w:val="00FC3155"/>
    <w:rsid w:val="00FC317C"/>
    <w:rsid w:val="00FD0360"/>
    <w:rsid w:val="00FD4D0F"/>
    <w:rsid w:val="00FD6D6C"/>
    <w:rsid w:val="00FD78D6"/>
    <w:rsid w:val="00FE3439"/>
    <w:rsid w:val="00FE5003"/>
    <w:rsid w:val="00FF43B1"/>
    <w:rsid w:val="00FF5997"/>
    <w:rsid w:val="0109650F"/>
    <w:rsid w:val="010A6538"/>
    <w:rsid w:val="015107B6"/>
    <w:rsid w:val="01553922"/>
    <w:rsid w:val="01AC7279"/>
    <w:rsid w:val="01BA37EB"/>
    <w:rsid w:val="01CC5EE4"/>
    <w:rsid w:val="01F000C2"/>
    <w:rsid w:val="020A1730"/>
    <w:rsid w:val="020B5B51"/>
    <w:rsid w:val="022003B8"/>
    <w:rsid w:val="02322291"/>
    <w:rsid w:val="024E1E15"/>
    <w:rsid w:val="025B2DC4"/>
    <w:rsid w:val="02640B4A"/>
    <w:rsid w:val="02A81EED"/>
    <w:rsid w:val="02E5725D"/>
    <w:rsid w:val="033518D8"/>
    <w:rsid w:val="035148F2"/>
    <w:rsid w:val="03697E71"/>
    <w:rsid w:val="03797287"/>
    <w:rsid w:val="03881A38"/>
    <w:rsid w:val="03980E10"/>
    <w:rsid w:val="03E11420"/>
    <w:rsid w:val="04063B90"/>
    <w:rsid w:val="040F4F9C"/>
    <w:rsid w:val="04292817"/>
    <w:rsid w:val="04425FE9"/>
    <w:rsid w:val="044B16B1"/>
    <w:rsid w:val="046E6139"/>
    <w:rsid w:val="04850B44"/>
    <w:rsid w:val="048E56D2"/>
    <w:rsid w:val="04FA4B16"/>
    <w:rsid w:val="0506170D"/>
    <w:rsid w:val="050E236F"/>
    <w:rsid w:val="051C04D1"/>
    <w:rsid w:val="0558793A"/>
    <w:rsid w:val="05725EBF"/>
    <w:rsid w:val="05A6798C"/>
    <w:rsid w:val="05AE6588"/>
    <w:rsid w:val="05B71608"/>
    <w:rsid w:val="05D05281"/>
    <w:rsid w:val="05DA407F"/>
    <w:rsid w:val="05EF1FFE"/>
    <w:rsid w:val="065B6019"/>
    <w:rsid w:val="067C1866"/>
    <w:rsid w:val="067C2282"/>
    <w:rsid w:val="06B22DB6"/>
    <w:rsid w:val="06C76C7A"/>
    <w:rsid w:val="06FB49B1"/>
    <w:rsid w:val="071012E4"/>
    <w:rsid w:val="071719AF"/>
    <w:rsid w:val="071C2DD7"/>
    <w:rsid w:val="076444C8"/>
    <w:rsid w:val="07B6268B"/>
    <w:rsid w:val="07E259C2"/>
    <w:rsid w:val="07E41516"/>
    <w:rsid w:val="0850039D"/>
    <w:rsid w:val="085A5FF7"/>
    <w:rsid w:val="086C51A8"/>
    <w:rsid w:val="08F002DB"/>
    <w:rsid w:val="09971285"/>
    <w:rsid w:val="099A6A6F"/>
    <w:rsid w:val="09AA5530"/>
    <w:rsid w:val="09BB2D99"/>
    <w:rsid w:val="09BB5D90"/>
    <w:rsid w:val="09C6304D"/>
    <w:rsid w:val="09F425C7"/>
    <w:rsid w:val="0A730EA2"/>
    <w:rsid w:val="0A770FAA"/>
    <w:rsid w:val="0ABB3DA7"/>
    <w:rsid w:val="0AEC411A"/>
    <w:rsid w:val="0AED2D32"/>
    <w:rsid w:val="0AF21B67"/>
    <w:rsid w:val="0B0D6829"/>
    <w:rsid w:val="0B1D56A8"/>
    <w:rsid w:val="0B2B5A29"/>
    <w:rsid w:val="0B333027"/>
    <w:rsid w:val="0B617B3C"/>
    <w:rsid w:val="0B6C7DF0"/>
    <w:rsid w:val="0BDD0694"/>
    <w:rsid w:val="0BE149C2"/>
    <w:rsid w:val="0BEB03C0"/>
    <w:rsid w:val="0BFF0C6A"/>
    <w:rsid w:val="0C0E7438"/>
    <w:rsid w:val="0C601702"/>
    <w:rsid w:val="0C905B62"/>
    <w:rsid w:val="0CD30A08"/>
    <w:rsid w:val="0CEC4A6F"/>
    <w:rsid w:val="0D363F33"/>
    <w:rsid w:val="0D4E194C"/>
    <w:rsid w:val="0D6D12C3"/>
    <w:rsid w:val="0D7002CE"/>
    <w:rsid w:val="0D907DC5"/>
    <w:rsid w:val="0DB4002F"/>
    <w:rsid w:val="0DB551AF"/>
    <w:rsid w:val="0DB62EC1"/>
    <w:rsid w:val="0DB759FC"/>
    <w:rsid w:val="0DBA62E5"/>
    <w:rsid w:val="0DC8738E"/>
    <w:rsid w:val="0E016001"/>
    <w:rsid w:val="0E19600D"/>
    <w:rsid w:val="0E1B6398"/>
    <w:rsid w:val="0E2449B2"/>
    <w:rsid w:val="0E80608C"/>
    <w:rsid w:val="0E891CDE"/>
    <w:rsid w:val="0E95436C"/>
    <w:rsid w:val="0E954898"/>
    <w:rsid w:val="0EBF37BD"/>
    <w:rsid w:val="0F0C5B71"/>
    <w:rsid w:val="0F423341"/>
    <w:rsid w:val="0FB642EF"/>
    <w:rsid w:val="0FE20680"/>
    <w:rsid w:val="100018D4"/>
    <w:rsid w:val="107460DE"/>
    <w:rsid w:val="10861954"/>
    <w:rsid w:val="109436E3"/>
    <w:rsid w:val="11153001"/>
    <w:rsid w:val="111D59EE"/>
    <w:rsid w:val="112453F4"/>
    <w:rsid w:val="119E5E08"/>
    <w:rsid w:val="119F6C9C"/>
    <w:rsid w:val="11E31EBD"/>
    <w:rsid w:val="120E7433"/>
    <w:rsid w:val="127D63F6"/>
    <w:rsid w:val="12891287"/>
    <w:rsid w:val="12BF1BB0"/>
    <w:rsid w:val="12CD73C6"/>
    <w:rsid w:val="13294F44"/>
    <w:rsid w:val="132B6CCC"/>
    <w:rsid w:val="13873911"/>
    <w:rsid w:val="13E2689C"/>
    <w:rsid w:val="13E91557"/>
    <w:rsid w:val="13F82B68"/>
    <w:rsid w:val="140D42EE"/>
    <w:rsid w:val="143A6CDD"/>
    <w:rsid w:val="14674E98"/>
    <w:rsid w:val="1467696B"/>
    <w:rsid w:val="14792502"/>
    <w:rsid w:val="14887A48"/>
    <w:rsid w:val="14931A8C"/>
    <w:rsid w:val="14BB1F70"/>
    <w:rsid w:val="14E876C0"/>
    <w:rsid w:val="14F450DE"/>
    <w:rsid w:val="15037690"/>
    <w:rsid w:val="159468C1"/>
    <w:rsid w:val="15A5287C"/>
    <w:rsid w:val="15B036A9"/>
    <w:rsid w:val="15DC0378"/>
    <w:rsid w:val="160E21CF"/>
    <w:rsid w:val="16226AB7"/>
    <w:rsid w:val="16314BAD"/>
    <w:rsid w:val="16887ED2"/>
    <w:rsid w:val="168B0D18"/>
    <w:rsid w:val="16914FDA"/>
    <w:rsid w:val="16933BB8"/>
    <w:rsid w:val="169B0125"/>
    <w:rsid w:val="16BB6B96"/>
    <w:rsid w:val="16FE0D1C"/>
    <w:rsid w:val="16FE2D4C"/>
    <w:rsid w:val="1725015C"/>
    <w:rsid w:val="172976C5"/>
    <w:rsid w:val="17594306"/>
    <w:rsid w:val="179E3A27"/>
    <w:rsid w:val="17B514CE"/>
    <w:rsid w:val="17D539F2"/>
    <w:rsid w:val="18337877"/>
    <w:rsid w:val="18357105"/>
    <w:rsid w:val="183D7650"/>
    <w:rsid w:val="185356B4"/>
    <w:rsid w:val="18862EA8"/>
    <w:rsid w:val="18930CCB"/>
    <w:rsid w:val="18AB0DDC"/>
    <w:rsid w:val="18C25071"/>
    <w:rsid w:val="18C82ECF"/>
    <w:rsid w:val="18D309FC"/>
    <w:rsid w:val="19097045"/>
    <w:rsid w:val="191915B7"/>
    <w:rsid w:val="19501C9A"/>
    <w:rsid w:val="196F11D7"/>
    <w:rsid w:val="19BB26CE"/>
    <w:rsid w:val="19D62055"/>
    <w:rsid w:val="1A007CEA"/>
    <w:rsid w:val="1A01273A"/>
    <w:rsid w:val="1A416FBC"/>
    <w:rsid w:val="1A4762B7"/>
    <w:rsid w:val="1A5F0C30"/>
    <w:rsid w:val="1A603A3D"/>
    <w:rsid w:val="1A740B6A"/>
    <w:rsid w:val="1A9E4C2A"/>
    <w:rsid w:val="1AA875FB"/>
    <w:rsid w:val="1B7E560D"/>
    <w:rsid w:val="1BC70D30"/>
    <w:rsid w:val="1C2115AE"/>
    <w:rsid w:val="1C3D79B6"/>
    <w:rsid w:val="1C44694B"/>
    <w:rsid w:val="1C5642F5"/>
    <w:rsid w:val="1C836B36"/>
    <w:rsid w:val="1D6B35BE"/>
    <w:rsid w:val="1D9D42B0"/>
    <w:rsid w:val="1DA91C2B"/>
    <w:rsid w:val="1DC54E4A"/>
    <w:rsid w:val="1DDA6E3B"/>
    <w:rsid w:val="1DDB5112"/>
    <w:rsid w:val="1DE278AD"/>
    <w:rsid w:val="1E084512"/>
    <w:rsid w:val="1E1329CF"/>
    <w:rsid w:val="1E1A64B4"/>
    <w:rsid w:val="1E1F3B60"/>
    <w:rsid w:val="1E205195"/>
    <w:rsid w:val="1E403142"/>
    <w:rsid w:val="1E6908EA"/>
    <w:rsid w:val="1E87379D"/>
    <w:rsid w:val="1E97356A"/>
    <w:rsid w:val="1EA77665"/>
    <w:rsid w:val="1ED21AD5"/>
    <w:rsid w:val="1F2E0BFF"/>
    <w:rsid w:val="1F34385C"/>
    <w:rsid w:val="1F655106"/>
    <w:rsid w:val="1F6C3BF2"/>
    <w:rsid w:val="1FA529D6"/>
    <w:rsid w:val="1FBA0AEA"/>
    <w:rsid w:val="1FBF76D7"/>
    <w:rsid w:val="1FC82DFF"/>
    <w:rsid w:val="1FC90591"/>
    <w:rsid w:val="205E3D53"/>
    <w:rsid w:val="20990A8B"/>
    <w:rsid w:val="20D444E5"/>
    <w:rsid w:val="2127654D"/>
    <w:rsid w:val="212E078A"/>
    <w:rsid w:val="213D7E0C"/>
    <w:rsid w:val="2167282F"/>
    <w:rsid w:val="217D1CF6"/>
    <w:rsid w:val="21DA1A7A"/>
    <w:rsid w:val="21F90DD2"/>
    <w:rsid w:val="2208041A"/>
    <w:rsid w:val="22184DB5"/>
    <w:rsid w:val="226E5DE0"/>
    <w:rsid w:val="22E43B90"/>
    <w:rsid w:val="23052BAC"/>
    <w:rsid w:val="23645B24"/>
    <w:rsid w:val="239006C7"/>
    <w:rsid w:val="23AB72AF"/>
    <w:rsid w:val="23DD074B"/>
    <w:rsid w:val="24080534"/>
    <w:rsid w:val="2446790B"/>
    <w:rsid w:val="24553D40"/>
    <w:rsid w:val="24645616"/>
    <w:rsid w:val="247A4058"/>
    <w:rsid w:val="247E2C16"/>
    <w:rsid w:val="248D0C4B"/>
    <w:rsid w:val="24ED23CE"/>
    <w:rsid w:val="255502E5"/>
    <w:rsid w:val="25574DCE"/>
    <w:rsid w:val="256B319A"/>
    <w:rsid w:val="258C1362"/>
    <w:rsid w:val="25A80E90"/>
    <w:rsid w:val="25B74631"/>
    <w:rsid w:val="260862A8"/>
    <w:rsid w:val="264E6DB9"/>
    <w:rsid w:val="264F3855"/>
    <w:rsid w:val="26A05072"/>
    <w:rsid w:val="271C144D"/>
    <w:rsid w:val="274719E5"/>
    <w:rsid w:val="27D2747C"/>
    <w:rsid w:val="2872440F"/>
    <w:rsid w:val="28807844"/>
    <w:rsid w:val="290F4474"/>
    <w:rsid w:val="295760F8"/>
    <w:rsid w:val="29AF2158"/>
    <w:rsid w:val="29B87BB1"/>
    <w:rsid w:val="29E52C48"/>
    <w:rsid w:val="2A2E4796"/>
    <w:rsid w:val="2A4F3E17"/>
    <w:rsid w:val="2A7A2535"/>
    <w:rsid w:val="2AB70C30"/>
    <w:rsid w:val="2AE20DED"/>
    <w:rsid w:val="2AF33719"/>
    <w:rsid w:val="2B204A27"/>
    <w:rsid w:val="2B297614"/>
    <w:rsid w:val="2B3B53BD"/>
    <w:rsid w:val="2B487ADA"/>
    <w:rsid w:val="2BBB02AC"/>
    <w:rsid w:val="2BCA4992"/>
    <w:rsid w:val="2BCF1FA9"/>
    <w:rsid w:val="2BD20F64"/>
    <w:rsid w:val="2BF10955"/>
    <w:rsid w:val="2C1005F7"/>
    <w:rsid w:val="2C2302BB"/>
    <w:rsid w:val="2C553324"/>
    <w:rsid w:val="2C6615DF"/>
    <w:rsid w:val="2C8C39F6"/>
    <w:rsid w:val="2CA02C35"/>
    <w:rsid w:val="2CA43435"/>
    <w:rsid w:val="2CAC416A"/>
    <w:rsid w:val="2CB16E87"/>
    <w:rsid w:val="2CE751CC"/>
    <w:rsid w:val="2CF60F41"/>
    <w:rsid w:val="2D300825"/>
    <w:rsid w:val="2D412A32"/>
    <w:rsid w:val="2D4E4FC1"/>
    <w:rsid w:val="2D507AFC"/>
    <w:rsid w:val="2DA660A6"/>
    <w:rsid w:val="2DD90333"/>
    <w:rsid w:val="2DE418E1"/>
    <w:rsid w:val="2DF611C9"/>
    <w:rsid w:val="2E2170F9"/>
    <w:rsid w:val="2E41641E"/>
    <w:rsid w:val="2E440F8F"/>
    <w:rsid w:val="2E8C5F2F"/>
    <w:rsid w:val="2E937CE4"/>
    <w:rsid w:val="2E944985"/>
    <w:rsid w:val="2EAD65D1"/>
    <w:rsid w:val="2EB35269"/>
    <w:rsid w:val="2EC102CF"/>
    <w:rsid w:val="2F0957D2"/>
    <w:rsid w:val="2F2A4967"/>
    <w:rsid w:val="2F485BEA"/>
    <w:rsid w:val="2FD26F55"/>
    <w:rsid w:val="2FEC4ED7"/>
    <w:rsid w:val="2FFE4609"/>
    <w:rsid w:val="30096558"/>
    <w:rsid w:val="30412803"/>
    <w:rsid w:val="305201A9"/>
    <w:rsid w:val="307A0735"/>
    <w:rsid w:val="30DE2DAE"/>
    <w:rsid w:val="30F73E5A"/>
    <w:rsid w:val="311157F3"/>
    <w:rsid w:val="312A2458"/>
    <w:rsid w:val="313A7EC4"/>
    <w:rsid w:val="317A6542"/>
    <w:rsid w:val="31B73FC1"/>
    <w:rsid w:val="31F12C79"/>
    <w:rsid w:val="321A7484"/>
    <w:rsid w:val="32517E19"/>
    <w:rsid w:val="326C2300"/>
    <w:rsid w:val="32756EB2"/>
    <w:rsid w:val="327F0285"/>
    <w:rsid w:val="328378A7"/>
    <w:rsid w:val="32985818"/>
    <w:rsid w:val="329F4483"/>
    <w:rsid w:val="32CD13D8"/>
    <w:rsid w:val="32D12295"/>
    <w:rsid w:val="32D46F77"/>
    <w:rsid w:val="330C2A93"/>
    <w:rsid w:val="330D5DEB"/>
    <w:rsid w:val="333F27D7"/>
    <w:rsid w:val="339248A7"/>
    <w:rsid w:val="33A07744"/>
    <w:rsid w:val="33A87367"/>
    <w:rsid w:val="33B65E11"/>
    <w:rsid w:val="33B865E8"/>
    <w:rsid w:val="33E7797B"/>
    <w:rsid w:val="341B5D8B"/>
    <w:rsid w:val="347E4E06"/>
    <w:rsid w:val="34874156"/>
    <w:rsid w:val="34961D84"/>
    <w:rsid w:val="35032B89"/>
    <w:rsid w:val="351E4EE1"/>
    <w:rsid w:val="355F4C75"/>
    <w:rsid w:val="35905F2B"/>
    <w:rsid w:val="35C04D42"/>
    <w:rsid w:val="35D22503"/>
    <w:rsid w:val="35DF103A"/>
    <w:rsid w:val="362E5440"/>
    <w:rsid w:val="3637096F"/>
    <w:rsid w:val="363E0457"/>
    <w:rsid w:val="36511F38"/>
    <w:rsid w:val="3652180C"/>
    <w:rsid w:val="36CA3A99"/>
    <w:rsid w:val="36CC1C9D"/>
    <w:rsid w:val="36E7289C"/>
    <w:rsid w:val="373177CE"/>
    <w:rsid w:val="37785ECF"/>
    <w:rsid w:val="379B30ED"/>
    <w:rsid w:val="37E36BED"/>
    <w:rsid w:val="388760E5"/>
    <w:rsid w:val="38D540B9"/>
    <w:rsid w:val="38EB3001"/>
    <w:rsid w:val="393E24EB"/>
    <w:rsid w:val="39A95BE7"/>
    <w:rsid w:val="39B12CEE"/>
    <w:rsid w:val="3A1D6E40"/>
    <w:rsid w:val="3A210788"/>
    <w:rsid w:val="3A4F20D8"/>
    <w:rsid w:val="3A6F6091"/>
    <w:rsid w:val="3B2B40CB"/>
    <w:rsid w:val="3B495E65"/>
    <w:rsid w:val="3B4C7172"/>
    <w:rsid w:val="3B636BC1"/>
    <w:rsid w:val="3B7A3CDF"/>
    <w:rsid w:val="3B7F300C"/>
    <w:rsid w:val="3BC96A15"/>
    <w:rsid w:val="3BE03C40"/>
    <w:rsid w:val="3BE43358"/>
    <w:rsid w:val="3BFE0D0E"/>
    <w:rsid w:val="3C1E6B96"/>
    <w:rsid w:val="3C633E13"/>
    <w:rsid w:val="3C7A4561"/>
    <w:rsid w:val="3C806ECF"/>
    <w:rsid w:val="3CC60FDA"/>
    <w:rsid w:val="3CD2096C"/>
    <w:rsid w:val="3D345790"/>
    <w:rsid w:val="3D656303"/>
    <w:rsid w:val="3D712EC0"/>
    <w:rsid w:val="3DBA091D"/>
    <w:rsid w:val="3DE511B8"/>
    <w:rsid w:val="3DF82460"/>
    <w:rsid w:val="3E913F8A"/>
    <w:rsid w:val="3E9443E8"/>
    <w:rsid w:val="3EA370A9"/>
    <w:rsid w:val="3EFC61A0"/>
    <w:rsid w:val="3F176741"/>
    <w:rsid w:val="3F3923EB"/>
    <w:rsid w:val="3F5C6702"/>
    <w:rsid w:val="3F6902F3"/>
    <w:rsid w:val="3F7C3C29"/>
    <w:rsid w:val="3F981C15"/>
    <w:rsid w:val="3FB93C81"/>
    <w:rsid w:val="3FBF43B6"/>
    <w:rsid w:val="3FC11830"/>
    <w:rsid w:val="3FD7334D"/>
    <w:rsid w:val="3FE5227A"/>
    <w:rsid w:val="400C0AB8"/>
    <w:rsid w:val="407D4E5F"/>
    <w:rsid w:val="409E3FCC"/>
    <w:rsid w:val="41100B42"/>
    <w:rsid w:val="411249BA"/>
    <w:rsid w:val="41197AF6"/>
    <w:rsid w:val="41401FAA"/>
    <w:rsid w:val="4185015E"/>
    <w:rsid w:val="41970CA5"/>
    <w:rsid w:val="423E54C5"/>
    <w:rsid w:val="424741EF"/>
    <w:rsid w:val="425F07A9"/>
    <w:rsid w:val="426F0D0D"/>
    <w:rsid w:val="42902722"/>
    <w:rsid w:val="42982E45"/>
    <w:rsid w:val="42997141"/>
    <w:rsid w:val="42DD62AF"/>
    <w:rsid w:val="43093AB2"/>
    <w:rsid w:val="433274B6"/>
    <w:rsid w:val="43611BE9"/>
    <w:rsid w:val="43A23DD3"/>
    <w:rsid w:val="43C529F5"/>
    <w:rsid w:val="43CB1AB8"/>
    <w:rsid w:val="443309C4"/>
    <w:rsid w:val="444D609D"/>
    <w:rsid w:val="446A4013"/>
    <w:rsid w:val="44991ED1"/>
    <w:rsid w:val="44D14A1F"/>
    <w:rsid w:val="44DC0101"/>
    <w:rsid w:val="4503099B"/>
    <w:rsid w:val="451A1B5E"/>
    <w:rsid w:val="452B429C"/>
    <w:rsid w:val="453D7EFA"/>
    <w:rsid w:val="45941E41"/>
    <w:rsid w:val="45FA5FD9"/>
    <w:rsid w:val="463131AB"/>
    <w:rsid w:val="46480423"/>
    <w:rsid w:val="466C33BB"/>
    <w:rsid w:val="46B362F7"/>
    <w:rsid w:val="46C44BD5"/>
    <w:rsid w:val="46FA73EB"/>
    <w:rsid w:val="46FD0ED7"/>
    <w:rsid w:val="47173E6F"/>
    <w:rsid w:val="47392981"/>
    <w:rsid w:val="474E5743"/>
    <w:rsid w:val="476F67B0"/>
    <w:rsid w:val="478B491D"/>
    <w:rsid w:val="47A22F2A"/>
    <w:rsid w:val="47C259CB"/>
    <w:rsid w:val="47D44A52"/>
    <w:rsid w:val="47E7681C"/>
    <w:rsid w:val="47EF7660"/>
    <w:rsid w:val="480C3F11"/>
    <w:rsid w:val="48117779"/>
    <w:rsid w:val="48253444"/>
    <w:rsid w:val="485F5F45"/>
    <w:rsid w:val="48CC544E"/>
    <w:rsid w:val="491C7F1B"/>
    <w:rsid w:val="492F4059"/>
    <w:rsid w:val="49375276"/>
    <w:rsid w:val="4977360C"/>
    <w:rsid w:val="49AA3833"/>
    <w:rsid w:val="49F301B9"/>
    <w:rsid w:val="49FD45C2"/>
    <w:rsid w:val="4A236C6F"/>
    <w:rsid w:val="4A323065"/>
    <w:rsid w:val="4A3A7F0E"/>
    <w:rsid w:val="4A442959"/>
    <w:rsid w:val="4A713F14"/>
    <w:rsid w:val="4AC92197"/>
    <w:rsid w:val="4ACB6D0D"/>
    <w:rsid w:val="4B0A7451"/>
    <w:rsid w:val="4B5D1DE1"/>
    <w:rsid w:val="4B8F5831"/>
    <w:rsid w:val="4BB73BE9"/>
    <w:rsid w:val="4BD63C4C"/>
    <w:rsid w:val="4BEB2031"/>
    <w:rsid w:val="4C1635B0"/>
    <w:rsid w:val="4CA15F48"/>
    <w:rsid w:val="4CCB5EE4"/>
    <w:rsid w:val="4CCF1A74"/>
    <w:rsid w:val="4CE85D4A"/>
    <w:rsid w:val="4D066995"/>
    <w:rsid w:val="4D3E16CF"/>
    <w:rsid w:val="4D6B74E0"/>
    <w:rsid w:val="4D9C7AE5"/>
    <w:rsid w:val="4DC80591"/>
    <w:rsid w:val="4DE46155"/>
    <w:rsid w:val="4DE61D04"/>
    <w:rsid w:val="4DEE7323"/>
    <w:rsid w:val="4DF80A94"/>
    <w:rsid w:val="4E5F0909"/>
    <w:rsid w:val="4E6200BB"/>
    <w:rsid w:val="4E766125"/>
    <w:rsid w:val="4EB80F4C"/>
    <w:rsid w:val="4EE01C53"/>
    <w:rsid w:val="4EEB5288"/>
    <w:rsid w:val="4F0973FC"/>
    <w:rsid w:val="4F1B4159"/>
    <w:rsid w:val="4F6F41B5"/>
    <w:rsid w:val="4F700335"/>
    <w:rsid w:val="4FA63C9A"/>
    <w:rsid w:val="50131BB5"/>
    <w:rsid w:val="50203001"/>
    <w:rsid w:val="504C0D48"/>
    <w:rsid w:val="50B51B02"/>
    <w:rsid w:val="50C07F8E"/>
    <w:rsid w:val="51121E6C"/>
    <w:rsid w:val="51226553"/>
    <w:rsid w:val="516A1CA8"/>
    <w:rsid w:val="516B122E"/>
    <w:rsid w:val="51CB4FB3"/>
    <w:rsid w:val="52445835"/>
    <w:rsid w:val="52641DFE"/>
    <w:rsid w:val="528334FD"/>
    <w:rsid w:val="52C131AC"/>
    <w:rsid w:val="52D63993"/>
    <w:rsid w:val="532753A2"/>
    <w:rsid w:val="5364371A"/>
    <w:rsid w:val="536776AE"/>
    <w:rsid w:val="537D2167"/>
    <w:rsid w:val="53E53AC9"/>
    <w:rsid w:val="546A00CA"/>
    <w:rsid w:val="54C530D9"/>
    <w:rsid w:val="54DE17E0"/>
    <w:rsid w:val="5504047D"/>
    <w:rsid w:val="55253301"/>
    <w:rsid w:val="55674E7D"/>
    <w:rsid w:val="55B81234"/>
    <w:rsid w:val="55C74889"/>
    <w:rsid w:val="5607739B"/>
    <w:rsid w:val="563C54D9"/>
    <w:rsid w:val="565A7935"/>
    <w:rsid w:val="565E6694"/>
    <w:rsid w:val="56820D5B"/>
    <w:rsid w:val="57023B70"/>
    <w:rsid w:val="57096D7C"/>
    <w:rsid w:val="572C6388"/>
    <w:rsid w:val="57596A47"/>
    <w:rsid w:val="57995095"/>
    <w:rsid w:val="57AD3C15"/>
    <w:rsid w:val="57FB7AFE"/>
    <w:rsid w:val="58311149"/>
    <w:rsid w:val="585119A0"/>
    <w:rsid w:val="58607715"/>
    <w:rsid w:val="58653AEC"/>
    <w:rsid w:val="587B7171"/>
    <w:rsid w:val="58A46E54"/>
    <w:rsid w:val="58BA71B3"/>
    <w:rsid w:val="58BF1D1B"/>
    <w:rsid w:val="58D81A7D"/>
    <w:rsid w:val="58E53578"/>
    <w:rsid w:val="592A069B"/>
    <w:rsid w:val="594B6471"/>
    <w:rsid w:val="59520AA5"/>
    <w:rsid w:val="59945B14"/>
    <w:rsid w:val="5A087794"/>
    <w:rsid w:val="5A0B78BB"/>
    <w:rsid w:val="5A184106"/>
    <w:rsid w:val="5A3D0E18"/>
    <w:rsid w:val="5A540FE6"/>
    <w:rsid w:val="5B024CA5"/>
    <w:rsid w:val="5B1C2265"/>
    <w:rsid w:val="5B9E0ECC"/>
    <w:rsid w:val="5BA113F4"/>
    <w:rsid w:val="5BA947F9"/>
    <w:rsid w:val="5BBF65E0"/>
    <w:rsid w:val="5BF010D8"/>
    <w:rsid w:val="5C0F5926"/>
    <w:rsid w:val="5C337866"/>
    <w:rsid w:val="5C656174"/>
    <w:rsid w:val="5C7A54B2"/>
    <w:rsid w:val="5CA954B5"/>
    <w:rsid w:val="5D156F6C"/>
    <w:rsid w:val="5D2673CB"/>
    <w:rsid w:val="5D3A70EE"/>
    <w:rsid w:val="5D5E0913"/>
    <w:rsid w:val="5D740D4B"/>
    <w:rsid w:val="5D837CB4"/>
    <w:rsid w:val="5D901B99"/>
    <w:rsid w:val="5D9424C4"/>
    <w:rsid w:val="5DAD36A2"/>
    <w:rsid w:val="5DBF187A"/>
    <w:rsid w:val="5DC97FC9"/>
    <w:rsid w:val="5DE85A58"/>
    <w:rsid w:val="5E007081"/>
    <w:rsid w:val="5EF05EE3"/>
    <w:rsid w:val="5F5A15AE"/>
    <w:rsid w:val="5F656FDC"/>
    <w:rsid w:val="5F816B3B"/>
    <w:rsid w:val="5FA0715F"/>
    <w:rsid w:val="5FAB6FD5"/>
    <w:rsid w:val="5FC5301A"/>
    <w:rsid w:val="5FDC7055"/>
    <w:rsid w:val="6034283E"/>
    <w:rsid w:val="606A78B9"/>
    <w:rsid w:val="609F196E"/>
    <w:rsid w:val="60D84E80"/>
    <w:rsid w:val="611F485D"/>
    <w:rsid w:val="611F660B"/>
    <w:rsid w:val="614A3DAA"/>
    <w:rsid w:val="61842912"/>
    <w:rsid w:val="618F0A37"/>
    <w:rsid w:val="61C34B59"/>
    <w:rsid w:val="61CF20DD"/>
    <w:rsid w:val="62055299"/>
    <w:rsid w:val="623C37F9"/>
    <w:rsid w:val="624136EF"/>
    <w:rsid w:val="62441860"/>
    <w:rsid w:val="62525166"/>
    <w:rsid w:val="6265316E"/>
    <w:rsid w:val="62674993"/>
    <w:rsid w:val="627D5CDF"/>
    <w:rsid w:val="62937A29"/>
    <w:rsid w:val="62A70077"/>
    <w:rsid w:val="62E23D94"/>
    <w:rsid w:val="63310F09"/>
    <w:rsid w:val="63694DB5"/>
    <w:rsid w:val="638915D0"/>
    <w:rsid w:val="638D1F52"/>
    <w:rsid w:val="63A45BF9"/>
    <w:rsid w:val="63B84F56"/>
    <w:rsid w:val="64074006"/>
    <w:rsid w:val="641A130C"/>
    <w:rsid w:val="64307272"/>
    <w:rsid w:val="643C5726"/>
    <w:rsid w:val="64847D37"/>
    <w:rsid w:val="64CD7FF4"/>
    <w:rsid w:val="64D140C0"/>
    <w:rsid w:val="653603C7"/>
    <w:rsid w:val="655C146A"/>
    <w:rsid w:val="65863D1B"/>
    <w:rsid w:val="6587477F"/>
    <w:rsid w:val="65B55F9D"/>
    <w:rsid w:val="65B95957"/>
    <w:rsid w:val="65F81266"/>
    <w:rsid w:val="66073F4A"/>
    <w:rsid w:val="66167BA9"/>
    <w:rsid w:val="661B36FD"/>
    <w:rsid w:val="663E10C6"/>
    <w:rsid w:val="6684682F"/>
    <w:rsid w:val="669E0047"/>
    <w:rsid w:val="66FF5D80"/>
    <w:rsid w:val="67283DE8"/>
    <w:rsid w:val="674F5770"/>
    <w:rsid w:val="67582877"/>
    <w:rsid w:val="67852C74"/>
    <w:rsid w:val="67BA7B20"/>
    <w:rsid w:val="67DB2C51"/>
    <w:rsid w:val="67F765E0"/>
    <w:rsid w:val="681F7264"/>
    <w:rsid w:val="684639C8"/>
    <w:rsid w:val="68562B5B"/>
    <w:rsid w:val="68671BC6"/>
    <w:rsid w:val="686B311E"/>
    <w:rsid w:val="68701E42"/>
    <w:rsid w:val="68AB69D7"/>
    <w:rsid w:val="68CA1641"/>
    <w:rsid w:val="68CB3B83"/>
    <w:rsid w:val="68FA376A"/>
    <w:rsid w:val="69047BC8"/>
    <w:rsid w:val="69053B30"/>
    <w:rsid w:val="691B1DAE"/>
    <w:rsid w:val="692A1FF1"/>
    <w:rsid w:val="69417918"/>
    <w:rsid w:val="69CC30A8"/>
    <w:rsid w:val="69D27EA0"/>
    <w:rsid w:val="69DF102E"/>
    <w:rsid w:val="69FD7559"/>
    <w:rsid w:val="6A33233D"/>
    <w:rsid w:val="6A3C022E"/>
    <w:rsid w:val="6B0276EE"/>
    <w:rsid w:val="6B214C20"/>
    <w:rsid w:val="6B5017A0"/>
    <w:rsid w:val="6B52525A"/>
    <w:rsid w:val="6B533C17"/>
    <w:rsid w:val="6B7569B5"/>
    <w:rsid w:val="6C096D1B"/>
    <w:rsid w:val="6C3B62C3"/>
    <w:rsid w:val="6C5B7CEC"/>
    <w:rsid w:val="6C7F57FD"/>
    <w:rsid w:val="6C8DA4F5"/>
    <w:rsid w:val="6CA96F0F"/>
    <w:rsid w:val="6CD56718"/>
    <w:rsid w:val="6CF240C6"/>
    <w:rsid w:val="6D013BED"/>
    <w:rsid w:val="6D3E6EF6"/>
    <w:rsid w:val="6D3F1FD7"/>
    <w:rsid w:val="6D5B09CB"/>
    <w:rsid w:val="6D834779"/>
    <w:rsid w:val="6D842581"/>
    <w:rsid w:val="6DB34F5A"/>
    <w:rsid w:val="6DDE15FC"/>
    <w:rsid w:val="6DEE7787"/>
    <w:rsid w:val="6E03652B"/>
    <w:rsid w:val="6E1E0599"/>
    <w:rsid w:val="6E5D4C17"/>
    <w:rsid w:val="6E967D6B"/>
    <w:rsid w:val="6F2B4E48"/>
    <w:rsid w:val="6F9603E0"/>
    <w:rsid w:val="6FA1734A"/>
    <w:rsid w:val="6FBF0220"/>
    <w:rsid w:val="6FC54864"/>
    <w:rsid w:val="6FD45398"/>
    <w:rsid w:val="706C2EEF"/>
    <w:rsid w:val="709A5CAE"/>
    <w:rsid w:val="70A33D21"/>
    <w:rsid w:val="70C525FF"/>
    <w:rsid w:val="70ED09B0"/>
    <w:rsid w:val="70F047E8"/>
    <w:rsid w:val="70FA556D"/>
    <w:rsid w:val="71136EAD"/>
    <w:rsid w:val="71137C65"/>
    <w:rsid w:val="7129306F"/>
    <w:rsid w:val="712A0D03"/>
    <w:rsid w:val="712F6687"/>
    <w:rsid w:val="7158645C"/>
    <w:rsid w:val="716E2908"/>
    <w:rsid w:val="717600B2"/>
    <w:rsid w:val="71904F0E"/>
    <w:rsid w:val="71B82140"/>
    <w:rsid w:val="72207151"/>
    <w:rsid w:val="723D01F2"/>
    <w:rsid w:val="72A91575"/>
    <w:rsid w:val="72FD4A11"/>
    <w:rsid w:val="72FF1303"/>
    <w:rsid w:val="7310276A"/>
    <w:rsid w:val="73383E6B"/>
    <w:rsid w:val="73396DB5"/>
    <w:rsid w:val="73BC5AD9"/>
    <w:rsid w:val="742C51F2"/>
    <w:rsid w:val="74493830"/>
    <w:rsid w:val="74505C0B"/>
    <w:rsid w:val="74911176"/>
    <w:rsid w:val="74BF3F35"/>
    <w:rsid w:val="74E03A67"/>
    <w:rsid w:val="75BF6A65"/>
    <w:rsid w:val="75C42F86"/>
    <w:rsid w:val="75DC656D"/>
    <w:rsid w:val="75FE3C40"/>
    <w:rsid w:val="76157B85"/>
    <w:rsid w:val="76471064"/>
    <w:rsid w:val="764D1C01"/>
    <w:rsid w:val="764D7211"/>
    <w:rsid w:val="7702169E"/>
    <w:rsid w:val="770A122D"/>
    <w:rsid w:val="77936D8F"/>
    <w:rsid w:val="77DA33DD"/>
    <w:rsid w:val="787B63C5"/>
    <w:rsid w:val="7887554D"/>
    <w:rsid w:val="78AB2B78"/>
    <w:rsid w:val="78AD22F7"/>
    <w:rsid w:val="78EB6E8C"/>
    <w:rsid w:val="78F148D9"/>
    <w:rsid w:val="78F83BED"/>
    <w:rsid w:val="79257587"/>
    <w:rsid w:val="797B57C8"/>
    <w:rsid w:val="79AB7CAA"/>
    <w:rsid w:val="79B55907"/>
    <w:rsid w:val="79FF25A5"/>
    <w:rsid w:val="7A4C2094"/>
    <w:rsid w:val="7AD640D2"/>
    <w:rsid w:val="7AFD57B8"/>
    <w:rsid w:val="7B3D7FFD"/>
    <w:rsid w:val="7B46553C"/>
    <w:rsid w:val="7B477A1B"/>
    <w:rsid w:val="7B5467C4"/>
    <w:rsid w:val="7B615D46"/>
    <w:rsid w:val="7B6C3DB3"/>
    <w:rsid w:val="7B9D2AF7"/>
    <w:rsid w:val="7BA84B1C"/>
    <w:rsid w:val="7BB47CED"/>
    <w:rsid w:val="7BC10F02"/>
    <w:rsid w:val="7BD64053"/>
    <w:rsid w:val="7BEE2EC0"/>
    <w:rsid w:val="7C1508DF"/>
    <w:rsid w:val="7C1A7721"/>
    <w:rsid w:val="7C47503C"/>
    <w:rsid w:val="7C63164A"/>
    <w:rsid w:val="7C8B6DF3"/>
    <w:rsid w:val="7CA32E53"/>
    <w:rsid w:val="7CC0084B"/>
    <w:rsid w:val="7CE111F7"/>
    <w:rsid w:val="7CFD241F"/>
    <w:rsid w:val="7D356F30"/>
    <w:rsid w:val="7D3F1FE1"/>
    <w:rsid w:val="7D40463C"/>
    <w:rsid w:val="7D5139EA"/>
    <w:rsid w:val="7D9F4904"/>
    <w:rsid w:val="7DB1356C"/>
    <w:rsid w:val="7DDD367E"/>
    <w:rsid w:val="7E077651"/>
    <w:rsid w:val="7F0D64C2"/>
    <w:rsid w:val="7F5247C5"/>
    <w:rsid w:val="7F8B784C"/>
    <w:rsid w:val="7F9C8EEF"/>
    <w:rsid w:val="7FA30658"/>
    <w:rsid w:val="7FAE3EBF"/>
    <w:rsid w:val="7FFF5AC7"/>
    <w:rsid w:val="7FFFF374"/>
    <w:rsid w:val="DBEFDA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6">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7">
    <w:name w:val="heading 2"/>
    <w:basedOn w:val="1"/>
    <w:next w:val="8"/>
    <w:link w:val="51"/>
    <w:qFormat/>
    <w:uiPriority w:val="0"/>
    <w:pPr>
      <w:spacing w:before="100" w:beforeAutospacing="1" w:after="100" w:afterAutospacing="1"/>
      <w:outlineLvl w:val="1"/>
    </w:pPr>
    <w:rPr>
      <w:rFonts w:ascii="宋体" w:hAnsi="宋体"/>
      <w:b/>
      <w:bCs/>
      <w:kern w:val="0"/>
      <w:sz w:val="36"/>
      <w:szCs w:val="36"/>
    </w:rPr>
  </w:style>
  <w:style w:type="paragraph" w:styleId="8">
    <w:name w:val="heading 3"/>
    <w:basedOn w:val="7"/>
    <w:next w:val="1"/>
    <w:qFormat/>
    <w:uiPriority w:val="0"/>
    <w:pPr>
      <w:keepNext/>
      <w:keepLines/>
      <w:spacing w:before="260" w:after="260" w:line="415" w:lineRule="auto"/>
      <w:outlineLvl w:val="2"/>
    </w:pPr>
    <w:rPr>
      <w:sz w:val="32"/>
      <w:szCs w:val="32"/>
    </w:rPr>
  </w:style>
  <w:style w:type="paragraph" w:styleId="9">
    <w:name w:val="heading 4"/>
    <w:basedOn w:val="1"/>
    <w:next w:val="1"/>
    <w:link w:val="186"/>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napToGrid w:val="0"/>
      <w:ind w:firstLine="420"/>
      <w:textAlignment w:val="baseline"/>
    </w:pPr>
    <w:rPr>
      <w:rFonts w:ascii="宋体"/>
      <w:snapToGrid w:val="0"/>
      <w:kern w:val="24"/>
      <w:sz w:val="24"/>
      <w:szCs w:val="20"/>
    </w:rPr>
  </w:style>
  <w:style w:type="paragraph" w:styleId="3">
    <w:name w:val="Body Text"/>
    <w:basedOn w:val="1"/>
    <w:next w:val="4"/>
    <w:link w:val="184"/>
    <w:unhideWhenUsed/>
    <w:qFormat/>
    <w:uiPriority w:val="99"/>
    <w:pPr>
      <w:spacing w:after="120"/>
    </w:pPr>
  </w:style>
  <w:style w:type="paragraph" w:customStyle="1" w:styleId="4">
    <w:name w:val="Body Text Indent 21"/>
    <w:basedOn w:val="1"/>
    <w:next w:val="5"/>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paragraph" w:styleId="5">
    <w:name w:val="header"/>
    <w:basedOn w:val="1"/>
    <w:link w:val="149"/>
    <w:qFormat/>
    <w:uiPriority w:val="99"/>
    <w:pPr>
      <w:snapToGrid w:val="0"/>
    </w:pPr>
    <w:rPr>
      <w:rFonts w:asciiTheme="minorHAnsi" w:hAnsiTheme="minorHAnsi" w:eastAsiaTheme="minorEastAsia" w:cstheme="minorBidi"/>
      <w:sz w:val="18"/>
      <w:szCs w:val="18"/>
    </w:rPr>
  </w:style>
  <w:style w:type="paragraph" w:styleId="10">
    <w:name w:val="index 8"/>
    <w:basedOn w:val="1"/>
    <w:next w:val="1"/>
    <w:qFormat/>
    <w:uiPriority w:val="0"/>
    <w:pPr>
      <w:ind w:left="1680" w:hanging="210"/>
    </w:pPr>
    <w:rPr>
      <w:rFonts w:ascii="Calibri" w:hAnsi="Calibri"/>
      <w:sz w:val="20"/>
      <w:szCs w:val="20"/>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index 5"/>
    <w:basedOn w:val="1"/>
    <w:next w:val="1"/>
    <w:qFormat/>
    <w:uiPriority w:val="0"/>
    <w:pPr>
      <w:ind w:left="1050" w:hanging="210"/>
    </w:pPr>
    <w:rPr>
      <w:rFonts w:ascii="Calibri" w:hAnsi="Calibri"/>
      <w:sz w:val="20"/>
      <w:szCs w:val="20"/>
    </w:rPr>
  </w:style>
  <w:style w:type="paragraph" w:styleId="13">
    <w:name w:val="Document Map"/>
    <w:basedOn w:val="1"/>
    <w:link w:val="171"/>
    <w:semiHidden/>
    <w:qFormat/>
    <w:uiPriority w:val="0"/>
    <w:pPr>
      <w:shd w:val="clear" w:color="auto" w:fill="000080"/>
    </w:pPr>
    <w:rPr>
      <w:rFonts w:asciiTheme="minorHAnsi" w:hAnsiTheme="minorHAnsi" w:eastAsiaTheme="minorEastAsia" w:cstheme="minorBidi"/>
    </w:rPr>
  </w:style>
  <w:style w:type="paragraph" w:styleId="14">
    <w:name w:val="annotation text"/>
    <w:basedOn w:val="1"/>
    <w:link w:val="168"/>
    <w:qFormat/>
    <w:uiPriority w:val="99"/>
    <w:rPr>
      <w:rFonts w:asciiTheme="minorHAnsi" w:hAnsiTheme="minorHAnsi" w:eastAsiaTheme="minorEastAsia" w:cstheme="minorBidi"/>
    </w:rPr>
  </w:style>
  <w:style w:type="paragraph" w:styleId="15">
    <w:name w:val="index 6"/>
    <w:basedOn w:val="1"/>
    <w:next w:val="1"/>
    <w:qFormat/>
    <w:uiPriority w:val="0"/>
    <w:pPr>
      <w:ind w:left="1260" w:hanging="210"/>
    </w:pPr>
    <w:rPr>
      <w:rFonts w:ascii="Calibri" w:hAnsi="Calibri"/>
      <w:sz w:val="20"/>
      <w:szCs w:val="20"/>
    </w:rPr>
  </w:style>
  <w:style w:type="paragraph" w:styleId="16">
    <w:name w:val="Body Text 3"/>
    <w:basedOn w:val="1"/>
    <w:link w:val="179"/>
    <w:unhideWhenUsed/>
    <w:qFormat/>
    <w:uiPriority w:val="99"/>
    <w:pPr>
      <w:spacing w:after="120"/>
    </w:pPr>
    <w:rPr>
      <w:sz w:val="16"/>
      <w:szCs w:val="16"/>
    </w:rPr>
  </w:style>
  <w:style w:type="paragraph" w:styleId="17">
    <w:name w:val="Body Text Indent"/>
    <w:basedOn w:val="1"/>
    <w:qFormat/>
    <w:uiPriority w:val="0"/>
    <w:pPr>
      <w:spacing w:line="400" w:lineRule="exact"/>
      <w:ind w:firstLine="435"/>
    </w:pPr>
  </w:style>
  <w:style w:type="paragraph" w:styleId="18">
    <w:name w:val="index 4"/>
    <w:basedOn w:val="1"/>
    <w:next w:val="1"/>
    <w:qFormat/>
    <w:uiPriority w:val="0"/>
    <w:pPr>
      <w:ind w:left="840" w:hanging="210"/>
    </w:pPr>
    <w:rPr>
      <w:rFonts w:ascii="Calibri" w:hAnsi="Calibri"/>
      <w:sz w:val="20"/>
      <w:szCs w:val="20"/>
    </w:rPr>
  </w:style>
  <w:style w:type="paragraph" w:styleId="19">
    <w:name w:val="Plain Text"/>
    <w:basedOn w:val="1"/>
    <w:link w:val="182"/>
    <w:unhideWhenUsed/>
    <w:qFormat/>
    <w:uiPriority w:val="0"/>
    <w:pPr>
      <w:widowControl w:val="0"/>
      <w:spacing w:line="240" w:lineRule="auto"/>
      <w:jc w:val="both"/>
    </w:pPr>
    <w:rPr>
      <w:rFonts w:ascii="宋体" w:hAnsi="Courier New" w:cs="Courier New"/>
      <w:szCs w:val="21"/>
    </w:rPr>
  </w:style>
  <w:style w:type="paragraph" w:styleId="20">
    <w:name w:val="index 3"/>
    <w:basedOn w:val="1"/>
    <w:next w:val="1"/>
    <w:qFormat/>
    <w:uiPriority w:val="0"/>
    <w:pPr>
      <w:ind w:left="630" w:hanging="210"/>
    </w:pPr>
    <w:rPr>
      <w:rFonts w:ascii="Calibri" w:hAnsi="Calibri"/>
      <w:sz w:val="20"/>
      <w:szCs w:val="20"/>
    </w:rPr>
  </w:style>
  <w:style w:type="paragraph" w:styleId="21">
    <w:name w:val="Date"/>
    <w:basedOn w:val="1"/>
    <w:next w:val="1"/>
    <w:link w:val="170"/>
    <w:qFormat/>
    <w:uiPriority w:val="99"/>
    <w:pPr>
      <w:ind w:left="100" w:leftChars="2500"/>
    </w:pPr>
    <w:rPr>
      <w:rFonts w:asciiTheme="minorHAnsi" w:hAnsiTheme="minorHAnsi" w:eastAsiaTheme="minorEastAsia" w:cstheme="minorBidi"/>
    </w:rPr>
  </w:style>
  <w:style w:type="paragraph" w:styleId="22">
    <w:name w:val="Body Text Indent 2"/>
    <w:basedOn w:val="1"/>
    <w:link w:val="160"/>
    <w:qFormat/>
    <w:uiPriority w:val="99"/>
    <w:pPr>
      <w:spacing w:after="120" w:line="480" w:lineRule="auto"/>
      <w:ind w:left="420" w:leftChars="200"/>
    </w:pPr>
    <w:rPr>
      <w:rFonts w:asciiTheme="minorHAnsi" w:hAnsiTheme="minorHAnsi" w:eastAsiaTheme="minorEastAsia" w:cstheme="minorBidi"/>
    </w:rPr>
  </w:style>
  <w:style w:type="paragraph" w:styleId="23">
    <w:name w:val="endnote text"/>
    <w:basedOn w:val="1"/>
    <w:link w:val="177"/>
    <w:semiHidden/>
    <w:qFormat/>
    <w:uiPriority w:val="0"/>
    <w:pPr>
      <w:snapToGrid w:val="0"/>
    </w:pPr>
    <w:rPr>
      <w:rFonts w:asciiTheme="minorHAnsi" w:hAnsiTheme="minorHAnsi" w:eastAsiaTheme="minorEastAsia" w:cstheme="minorBidi"/>
    </w:rPr>
  </w:style>
  <w:style w:type="paragraph" w:styleId="24">
    <w:name w:val="Balloon Text"/>
    <w:basedOn w:val="1"/>
    <w:link w:val="146"/>
    <w:qFormat/>
    <w:uiPriority w:val="99"/>
    <w:rPr>
      <w:rFonts w:asciiTheme="minorHAnsi" w:hAnsiTheme="minorHAnsi" w:eastAsiaTheme="minorEastAsia" w:cstheme="minorBidi"/>
      <w:sz w:val="18"/>
      <w:szCs w:val="18"/>
    </w:rPr>
  </w:style>
  <w:style w:type="paragraph" w:styleId="25">
    <w:name w:val="footer"/>
    <w:basedOn w:val="1"/>
    <w:link w:val="167"/>
    <w:qFormat/>
    <w:uiPriority w:val="99"/>
    <w:pPr>
      <w:snapToGrid w:val="0"/>
      <w:ind w:right="210" w:rightChars="100"/>
      <w:jc w:val="right"/>
    </w:pPr>
    <w:rPr>
      <w:rFonts w:asciiTheme="minorHAnsi" w:hAnsiTheme="minorHAnsi" w:eastAsiaTheme="minorEastAsia" w:cstheme="minorBidi"/>
      <w:sz w:val="18"/>
      <w:szCs w:val="18"/>
    </w:rPr>
  </w:style>
  <w:style w:type="paragraph" w:styleId="26">
    <w:name w:val="toc 1"/>
    <w:basedOn w:val="1"/>
    <w:next w:val="1"/>
    <w:qFormat/>
    <w:uiPriority w:val="39"/>
    <w:pPr>
      <w:tabs>
        <w:tab w:val="right" w:leader="dot" w:pos="9242"/>
      </w:tabs>
      <w:spacing w:beforeLines="25" w:afterLines="25"/>
    </w:pPr>
    <w:rPr>
      <w:rFonts w:ascii="宋体"/>
      <w:szCs w:val="21"/>
    </w:rPr>
  </w:style>
  <w:style w:type="paragraph" w:styleId="27">
    <w:name w:val="index heading"/>
    <w:basedOn w:val="1"/>
    <w:next w:val="28"/>
    <w:qFormat/>
    <w:uiPriority w:val="0"/>
    <w:pPr>
      <w:spacing w:before="120" w:after="120"/>
      <w:jc w:val="center"/>
    </w:pPr>
    <w:rPr>
      <w:rFonts w:ascii="Calibri" w:hAnsi="Calibri"/>
      <w:b/>
      <w:bCs/>
      <w:iCs/>
      <w:szCs w:val="20"/>
    </w:rPr>
  </w:style>
  <w:style w:type="paragraph" w:styleId="28">
    <w:name w:val="index 1"/>
    <w:basedOn w:val="1"/>
    <w:next w:val="1"/>
    <w:unhideWhenUsed/>
    <w:qFormat/>
    <w:uiPriority w:val="0"/>
  </w:style>
  <w:style w:type="paragraph" w:styleId="29">
    <w:name w:val="footnote text"/>
    <w:basedOn w:val="1"/>
    <w:link w:val="156"/>
    <w:qFormat/>
    <w:uiPriority w:val="0"/>
    <w:pPr>
      <w:tabs>
        <w:tab w:val="left" w:pos="0"/>
      </w:tabs>
      <w:snapToGrid w:val="0"/>
      <w:ind w:left="720" w:hanging="357"/>
    </w:pPr>
    <w:rPr>
      <w:rFonts w:ascii="宋体" w:hAnsiTheme="minorHAnsi" w:eastAsiaTheme="minorEastAsia" w:cstheme="minorBidi"/>
      <w:sz w:val="18"/>
      <w:szCs w:val="18"/>
    </w:rPr>
  </w:style>
  <w:style w:type="paragraph" w:styleId="30">
    <w:name w:val="index 7"/>
    <w:basedOn w:val="1"/>
    <w:next w:val="1"/>
    <w:qFormat/>
    <w:uiPriority w:val="0"/>
    <w:pPr>
      <w:ind w:left="1470" w:hanging="210"/>
    </w:pPr>
    <w:rPr>
      <w:rFonts w:ascii="Calibri" w:hAnsi="Calibri"/>
      <w:sz w:val="20"/>
      <w:szCs w:val="20"/>
    </w:rPr>
  </w:style>
  <w:style w:type="paragraph" w:styleId="31">
    <w:name w:val="index 9"/>
    <w:basedOn w:val="1"/>
    <w:next w:val="1"/>
    <w:qFormat/>
    <w:uiPriority w:val="0"/>
    <w:pPr>
      <w:ind w:left="1890" w:hanging="210"/>
    </w:pPr>
    <w:rPr>
      <w:rFonts w:ascii="Calibri" w:hAnsi="Calibri"/>
      <w:sz w:val="20"/>
      <w:szCs w:val="20"/>
    </w:rPr>
  </w:style>
  <w:style w:type="paragraph" w:styleId="32">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3">
    <w:name w:val="HTML Preformatted"/>
    <w:basedOn w:val="1"/>
    <w:link w:val="154"/>
    <w:qFormat/>
    <w:uiPriority w:val="0"/>
    <w:rPr>
      <w:rFonts w:ascii="Courier New" w:hAnsi="Courier New" w:cs="Courier New" w:eastAsiaTheme="minorEastAsia"/>
      <w:szCs w:val="22"/>
    </w:rPr>
  </w:style>
  <w:style w:type="paragraph" w:styleId="34">
    <w:name w:val="Normal (Web)"/>
    <w:basedOn w:val="1"/>
    <w:unhideWhenUsed/>
    <w:qFormat/>
    <w:uiPriority w:val="99"/>
    <w:pPr>
      <w:spacing w:before="100" w:beforeAutospacing="1" w:after="100" w:afterAutospacing="1"/>
    </w:pPr>
    <w:rPr>
      <w:rFonts w:ascii="宋体" w:hAnsi="宋体" w:cs="宋体"/>
      <w:kern w:val="0"/>
      <w:sz w:val="24"/>
    </w:rPr>
  </w:style>
  <w:style w:type="paragraph" w:styleId="35">
    <w:name w:val="index 2"/>
    <w:basedOn w:val="1"/>
    <w:next w:val="1"/>
    <w:qFormat/>
    <w:uiPriority w:val="0"/>
    <w:pPr>
      <w:ind w:left="420" w:hanging="210"/>
    </w:pPr>
    <w:rPr>
      <w:rFonts w:ascii="Calibri" w:hAnsi="Calibri"/>
      <w:sz w:val="20"/>
      <w:szCs w:val="20"/>
    </w:rPr>
  </w:style>
  <w:style w:type="paragraph" w:styleId="36">
    <w:name w:val="Title"/>
    <w:basedOn w:val="1"/>
    <w:link w:val="180"/>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4"/>
    <w:next w:val="14"/>
    <w:link w:val="176"/>
    <w:semiHidden/>
    <w:qFormat/>
    <w:uiPriority w:val="0"/>
    <w:rPr>
      <w:b/>
      <w:bCs/>
    </w:rPr>
  </w:style>
  <w:style w:type="paragraph" w:styleId="38">
    <w:name w:val="Body Text First Indent 2"/>
    <w:basedOn w:val="17"/>
    <w:qFormat/>
    <w:uiPriority w:val="0"/>
    <w:pPr>
      <w:spacing w:after="120" w:line="240" w:lineRule="auto"/>
      <w:ind w:left="420" w:firstLine="210"/>
    </w:pPr>
    <w:rPr>
      <w:szCs w:val="20"/>
    </w:rPr>
  </w:style>
  <w:style w:type="table" w:styleId="40">
    <w:name w:val="Table Grid"/>
    <w:basedOn w:val="3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b/>
      <w:bCs/>
    </w:rPr>
  </w:style>
  <w:style w:type="character" w:styleId="43">
    <w:name w:val="page number"/>
    <w:qFormat/>
    <w:uiPriority w:val="99"/>
    <w:rPr>
      <w:rFonts w:ascii="Times New Roman" w:hAnsi="Times New Roman" w:eastAsia="宋体"/>
      <w:sz w:val="18"/>
    </w:rPr>
  </w:style>
  <w:style w:type="character" w:styleId="44">
    <w:name w:val="FollowedHyperlink"/>
    <w:qFormat/>
    <w:uiPriority w:val="0"/>
    <w:rPr>
      <w:color w:val="800080"/>
      <w:u w:val="single"/>
    </w:rPr>
  </w:style>
  <w:style w:type="character" w:styleId="45">
    <w:name w:val="Emphasis"/>
    <w:qFormat/>
    <w:uiPriority w:val="20"/>
    <w:rPr>
      <w:color w:val="CC0000"/>
    </w:rPr>
  </w:style>
  <w:style w:type="character" w:styleId="46">
    <w:name w:val="Hyperlink"/>
    <w:qFormat/>
    <w:uiPriority w:val="99"/>
    <w:rPr>
      <w:color w:val="0000FF"/>
      <w:spacing w:val="0"/>
      <w:w w:val="100"/>
      <w:szCs w:val="21"/>
      <w:u w:val="single"/>
      <w:lang w:val="en-US" w:eastAsia="zh-CN"/>
    </w:rPr>
  </w:style>
  <w:style w:type="character" w:styleId="47">
    <w:name w:val="annotation reference"/>
    <w:basedOn w:val="41"/>
    <w:unhideWhenUsed/>
    <w:qFormat/>
    <w:uiPriority w:val="0"/>
    <w:rPr>
      <w:sz w:val="21"/>
      <w:szCs w:val="21"/>
    </w:rPr>
  </w:style>
  <w:style w:type="character" w:styleId="48">
    <w:name w:val="footnote reference"/>
    <w:qFormat/>
    <w:uiPriority w:val="0"/>
    <w:rPr>
      <w:vertAlign w:val="superscript"/>
    </w:rPr>
  </w:style>
  <w:style w:type="character" w:customStyle="1" w:styleId="49">
    <w:name w:val="标题 1 字符"/>
    <w:basedOn w:val="41"/>
    <w:link w:val="6"/>
    <w:qFormat/>
    <w:uiPriority w:val="0"/>
    <w:rPr>
      <w:rFonts w:ascii="Times New Roman" w:hAnsi="Times New Roman" w:eastAsia="宋体" w:cs="Times New Roman"/>
      <w:b/>
      <w:bCs/>
      <w:kern w:val="44"/>
      <w:sz w:val="44"/>
      <w:szCs w:val="44"/>
    </w:rPr>
  </w:style>
  <w:style w:type="paragraph" w:customStyle="1" w:styleId="50">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character" w:customStyle="1" w:styleId="51">
    <w:name w:val="标题 2 字符"/>
    <w:basedOn w:val="41"/>
    <w:link w:val="7"/>
    <w:qFormat/>
    <w:uiPriority w:val="0"/>
    <w:rPr>
      <w:rFonts w:ascii="宋体" w:hAnsi="宋体" w:eastAsia="宋体" w:cs="Times New Roman"/>
      <w:b/>
      <w:bCs/>
      <w:kern w:val="0"/>
      <w:sz w:val="36"/>
      <w:szCs w:val="36"/>
    </w:rPr>
  </w:style>
  <w:style w:type="character" w:customStyle="1" w:styleId="52">
    <w:name w:val="批注文字 Char"/>
    <w:semiHidden/>
    <w:qFormat/>
    <w:uiPriority w:val="0"/>
    <w:rPr>
      <w:szCs w:val="24"/>
    </w:rPr>
  </w:style>
  <w:style w:type="character" w:customStyle="1" w:styleId="53">
    <w:name w:val="批注主题 Char"/>
    <w:semiHidden/>
    <w:qFormat/>
    <w:uiPriority w:val="0"/>
    <w:rPr>
      <w:b/>
      <w:bCs/>
      <w:szCs w:val="24"/>
    </w:rPr>
  </w:style>
  <w:style w:type="character" w:customStyle="1" w:styleId="54">
    <w:name w:val="文档结构图 Char"/>
    <w:semiHidden/>
    <w:qFormat/>
    <w:uiPriority w:val="0"/>
    <w:rPr>
      <w:szCs w:val="24"/>
      <w:shd w:val="clear" w:color="auto" w:fill="000080"/>
    </w:rPr>
  </w:style>
  <w:style w:type="character" w:customStyle="1" w:styleId="55">
    <w:name w:val="脚注文本 Char"/>
    <w:qFormat/>
    <w:uiPriority w:val="0"/>
    <w:rPr>
      <w:rFonts w:ascii="宋体"/>
      <w:sz w:val="18"/>
      <w:szCs w:val="18"/>
    </w:rPr>
  </w:style>
  <w:style w:type="character" w:customStyle="1" w:styleId="56">
    <w:name w:val="con"/>
    <w:qFormat/>
    <w:uiPriority w:val="0"/>
  </w:style>
  <w:style w:type="character" w:customStyle="1" w:styleId="57">
    <w:name w:val="bar-label2"/>
    <w:qFormat/>
    <w:uiPriority w:val="99"/>
  </w:style>
  <w:style w:type="character" w:customStyle="1" w:styleId="58">
    <w:name w:val="正文文本缩进 2 Char"/>
    <w:qFormat/>
    <w:uiPriority w:val="99"/>
    <w:rPr>
      <w:szCs w:val="24"/>
    </w:rPr>
  </w:style>
  <w:style w:type="character" w:customStyle="1" w:styleId="59">
    <w:name w:val="日期 Char"/>
    <w:qFormat/>
    <w:uiPriority w:val="99"/>
    <w:rPr>
      <w:szCs w:val="24"/>
    </w:rPr>
  </w:style>
  <w:style w:type="character" w:customStyle="1" w:styleId="60">
    <w:name w:val="页脚 Char"/>
    <w:qFormat/>
    <w:locked/>
    <w:uiPriority w:val="99"/>
    <w:rPr>
      <w:sz w:val="18"/>
      <w:szCs w:val="18"/>
    </w:rPr>
  </w:style>
  <w:style w:type="character" w:customStyle="1" w:styleId="61">
    <w:name w:val="apple-converted-space"/>
    <w:basedOn w:val="41"/>
    <w:qFormat/>
    <w:uiPriority w:val="0"/>
  </w:style>
  <w:style w:type="character" w:customStyle="1" w:styleId="62">
    <w:name w:val="批注框文本 Char"/>
    <w:qFormat/>
    <w:uiPriority w:val="99"/>
    <w:rPr>
      <w:sz w:val="18"/>
      <w:szCs w:val="18"/>
    </w:rPr>
  </w:style>
  <w:style w:type="character" w:customStyle="1" w:styleId="63">
    <w:name w:val="页眉 Char"/>
    <w:qFormat/>
    <w:locked/>
    <w:uiPriority w:val="99"/>
    <w:rPr>
      <w:sz w:val="18"/>
      <w:szCs w:val="18"/>
    </w:rPr>
  </w:style>
  <w:style w:type="character" w:customStyle="1" w:styleId="64">
    <w:name w:val="首示例 Char"/>
    <w:link w:val="65"/>
    <w:qFormat/>
    <w:uiPriority w:val="0"/>
    <w:rPr>
      <w:rFonts w:ascii="宋体" w:hAnsi="宋体"/>
      <w:sz w:val="18"/>
      <w:szCs w:val="18"/>
    </w:rPr>
  </w:style>
  <w:style w:type="paragraph" w:customStyle="1" w:styleId="65">
    <w:name w:val="首示例"/>
    <w:next w:val="66"/>
    <w:link w:val="64"/>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6">
    <w:name w:val="段"/>
    <w:link w:val="67"/>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7">
    <w:name w:val="段 Char"/>
    <w:link w:val="66"/>
    <w:qFormat/>
    <w:uiPriority w:val="0"/>
    <w:rPr>
      <w:rFonts w:ascii="宋体"/>
    </w:rPr>
  </w:style>
  <w:style w:type="character" w:customStyle="1" w:styleId="68">
    <w:name w:val="附录公式 Char"/>
    <w:basedOn w:val="67"/>
    <w:link w:val="69"/>
    <w:qFormat/>
    <w:uiPriority w:val="0"/>
    <w:rPr>
      <w:rFonts w:ascii="宋体"/>
    </w:rPr>
  </w:style>
  <w:style w:type="paragraph" w:customStyle="1" w:styleId="69">
    <w:name w:val="附录公式"/>
    <w:basedOn w:val="66"/>
    <w:next w:val="66"/>
    <w:link w:val="68"/>
    <w:qFormat/>
    <w:uiPriority w:val="0"/>
  </w:style>
  <w:style w:type="character" w:customStyle="1" w:styleId="70">
    <w:name w:val="发布"/>
    <w:qFormat/>
    <w:uiPriority w:val="0"/>
    <w:rPr>
      <w:rFonts w:ascii="黑体" w:eastAsia="黑体"/>
      <w:spacing w:val="85"/>
      <w:w w:val="100"/>
      <w:position w:val="3"/>
      <w:sz w:val="28"/>
      <w:szCs w:val="28"/>
    </w:rPr>
  </w:style>
  <w:style w:type="character" w:customStyle="1" w:styleId="71">
    <w:name w:val="一级条标题 Char"/>
    <w:link w:val="72"/>
    <w:qFormat/>
    <w:uiPriority w:val="0"/>
    <w:rPr>
      <w:rFonts w:ascii="黑体" w:eastAsia="黑体"/>
      <w:szCs w:val="21"/>
    </w:rPr>
  </w:style>
  <w:style w:type="paragraph" w:customStyle="1" w:styleId="72">
    <w:name w:val="一级条标题"/>
    <w:next w:val="66"/>
    <w:link w:val="71"/>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3">
    <w:name w:val="HTML 预设格式 Char"/>
    <w:qFormat/>
    <w:uiPriority w:val="0"/>
    <w:rPr>
      <w:rFonts w:ascii="Courier New" w:hAnsi="Courier New" w:cs="Courier New"/>
    </w:rPr>
  </w:style>
  <w:style w:type="character" w:customStyle="1" w:styleId="74">
    <w:name w:val="尾注文本 Char"/>
    <w:semiHidden/>
    <w:qFormat/>
    <w:uiPriority w:val="0"/>
    <w:rPr>
      <w:szCs w:val="24"/>
    </w:rPr>
  </w:style>
  <w:style w:type="paragraph" w:customStyle="1" w:styleId="75">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6">
    <w:name w:val="reader-word-layer"/>
    <w:basedOn w:val="1"/>
    <w:qFormat/>
    <w:uiPriority w:val="0"/>
    <w:pPr>
      <w:spacing w:before="100" w:beforeAutospacing="1" w:after="100" w:afterAutospacing="1" w:line="240" w:lineRule="auto"/>
    </w:pPr>
    <w:rPr>
      <w:rFonts w:ascii="宋体" w:hAnsi="宋体" w:cs="宋体"/>
      <w:kern w:val="0"/>
      <w:sz w:val="24"/>
    </w:rPr>
  </w:style>
  <w:style w:type="paragraph" w:customStyle="1" w:styleId="77">
    <w:name w:val="列表段落1"/>
    <w:basedOn w:val="1"/>
    <w:qFormat/>
    <w:uiPriority w:val="34"/>
    <w:pPr>
      <w:ind w:firstLine="420" w:firstLineChars="200"/>
    </w:pPr>
    <w:rPr>
      <w:rFonts w:ascii="宋体" w:hAnsi="宋体" w:cs="宋体"/>
      <w:kern w:val="0"/>
      <w:sz w:val="24"/>
    </w:rPr>
  </w:style>
  <w:style w:type="paragraph" w:customStyle="1" w:styleId="78">
    <w:name w:val="封面一致性程度标识2"/>
    <w:basedOn w:val="79"/>
    <w:qFormat/>
    <w:uiPriority w:val="0"/>
    <w:pPr>
      <w:framePr w:wrap="around" w:y="4469"/>
    </w:pPr>
  </w:style>
  <w:style w:type="paragraph" w:customStyle="1" w:styleId="79">
    <w:name w:val="封面一致性程度标识"/>
    <w:basedOn w:val="80"/>
    <w:qFormat/>
    <w:uiPriority w:val="0"/>
    <w:pPr>
      <w:framePr w:wrap="around"/>
      <w:spacing w:before="440"/>
    </w:pPr>
    <w:rPr>
      <w:rFonts w:ascii="宋体" w:eastAsia="宋体"/>
    </w:rPr>
  </w:style>
  <w:style w:type="paragraph" w:customStyle="1" w:styleId="80">
    <w:name w:val="封面标准英文名称"/>
    <w:basedOn w:val="81"/>
    <w:qFormat/>
    <w:uiPriority w:val="0"/>
    <w:pPr>
      <w:framePr w:wrap="around"/>
      <w:spacing w:before="370" w:line="400" w:lineRule="exact"/>
    </w:pPr>
    <w:rPr>
      <w:rFonts w:ascii="Times New Roman"/>
      <w:sz w:val="28"/>
      <w:szCs w:val="28"/>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2"/>
    <w:basedOn w:val="80"/>
    <w:qFormat/>
    <w:uiPriority w:val="0"/>
    <w:pPr>
      <w:framePr w:wrap="around" w:y="4469"/>
    </w:pPr>
  </w:style>
  <w:style w:type="paragraph" w:customStyle="1" w:styleId="83">
    <w:name w:val="其他发布日期"/>
    <w:basedOn w:val="84"/>
    <w:qFormat/>
    <w:uiPriority w:val="0"/>
    <w:pPr>
      <w:framePr w:wrap="around" w:vAnchor="page" w:hAnchor="text" w:x="1419"/>
    </w:pPr>
  </w:style>
  <w:style w:type="paragraph" w:customStyle="1" w:styleId="84">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5">
    <w:name w:val="正文公式编号制表符"/>
    <w:basedOn w:val="66"/>
    <w:next w:val="66"/>
    <w:qFormat/>
    <w:uiPriority w:val="0"/>
    <w:pPr>
      <w:ind w:firstLine="0" w:firstLineChars="0"/>
    </w:pPr>
  </w:style>
  <w:style w:type="paragraph" w:customStyle="1" w:styleId="86">
    <w:name w:val="正文表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7">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8">
    <w:name w:val="一级无"/>
    <w:basedOn w:val="72"/>
    <w:qFormat/>
    <w:uiPriority w:val="0"/>
  </w:style>
  <w:style w:type="paragraph" w:customStyle="1" w:styleId="89">
    <w:name w:val="图的脚注"/>
    <w:next w:val="66"/>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0">
    <w:name w:val="图标脚注说明"/>
    <w:basedOn w:val="66"/>
    <w:qFormat/>
    <w:uiPriority w:val="0"/>
    <w:pPr>
      <w:ind w:left="840" w:hanging="420" w:firstLineChars="0"/>
    </w:pPr>
    <w:rPr>
      <w:sz w:val="18"/>
      <w:szCs w:val="18"/>
    </w:rPr>
  </w:style>
  <w:style w:type="paragraph" w:customStyle="1" w:styleId="91">
    <w:name w:val="示例后文字"/>
    <w:basedOn w:val="66"/>
    <w:next w:val="66"/>
    <w:qFormat/>
    <w:uiPriority w:val="0"/>
    <w:pPr>
      <w:ind w:firstLine="360"/>
    </w:pPr>
    <w:rPr>
      <w:sz w:val="18"/>
    </w:rPr>
  </w:style>
  <w:style w:type="paragraph" w:customStyle="1" w:styleId="92">
    <w:name w:val="实施日期"/>
    <w:basedOn w:val="84"/>
    <w:qFormat/>
    <w:uiPriority w:val="0"/>
    <w:pPr>
      <w:framePr w:wrap="around" w:vAnchor="page" w:hAnchor="text"/>
      <w:jc w:val="right"/>
    </w:pPr>
  </w:style>
  <w:style w:type="paragraph" w:customStyle="1" w:styleId="93">
    <w:name w:val="前言、引言标题"/>
    <w:next w:val="66"/>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6">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7">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8">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9">
    <w:name w:val="条文脚注"/>
    <w:basedOn w:val="29"/>
    <w:qFormat/>
    <w:uiPriority w:val="0"/>
    <w:pPr>
      <w:ind w:left="0" w:firstLine="0"/>
      <w:jc w:val="both"/>
    </w:pPr>
  </w:style>
  <w:style w:type="paragraph" w:customStyle="1" w:styleId="100">
    <w:name w:val="附录一级无"/>
    <w:basedOn w:val="101"/>
    <w:qFormat/>
    <w:uiPriority w:val="0"/>
    <w:pPr>
      <w:tabs>
        <w:tab w:val="left" w:pos="360"/>
      </w:tabs>
      <w:spacing w:beforeLines="0" w:afterLines="0"/>
    </w:pPr>
    <w:rPr>
      <w:rFonts w:ascii="宋体" w:eastAsia="宋体"/>
      <w:szCs w:val="21"/>
    </w:rPr>
  </w:style>
  <w:style w:type="paragraph" w:customStyle="1" w:styleId="101">
    <w:name w:val="附录一级条标题"/>
    <w:basedOn w:val="102"/>
    <w:next w:val="66"/>
    <w:qFormat/>
    <w:uiPriority w:val="0"/>
    <w:pPr>
      <w:tabs>
        <w:tab w:val="left" w:pos="360"/>
      </w:tabs>
      <w:autoSpaceDN w:val="0"/>
      <w:spacing w:beforeLines="50" w:afterLines="50"/>
      <w:outlineLvl w:val="2"/>
    </w:pPr>
  </w:style>
  <w:style w:type="paragraph" w:customStyle="1" w:styleId="102">
    <w:name w:val="附录章标题"/>
    <w:next w:val="66"/>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五级无"/>
    <w:basedOn w:val="104"/>
    <w:qFormat/>
    <w:uiPriority w:val="0"/>
    <w:pPr>
      <w:tabs>
        <w:tab w:val="left" w:pos="360"/>
      </w:tabs>
      <w:spacing w:beforeLines="0" w:afterLines="0"/>
    </w:pPr>
    <w:rPr>
      <w:rFonts w:ascii="宋体" w:eastAsia="宋体"/>
      <w:szCs w:val="21"/>
    </w:rPr>
  </w:style>
  <w:style w:type="paragraph" w:customStyle="1" w:styleId="104">
    <w:name w:val="附录五级条标题"/>
    <w:basedOn w:val="105"/>
    <w:next w:val="66"/>
    <w:qFormat/>
    <w:uiPriority w:val="0"/>
    <w:pPr>
      <w:tabs>
        <w:tab w:val="left" w:pos="360"/>
      </w:tabs>
      <w:outlineLvl w:val="6"/>
    </w:pPr>
  </w:style>
  <w:style w:type="paragraph" w:customStyle="1" w:styleId="105">
    <w:name w:val="附录四级条标题"/>
    <w:basedOn w:val="106"/>
    <w:next w:val="66"/>
    <w:qFormat/>
    <w:uiPriority w:val="0"/>
    <w:pPr>
      <w:tabs>
        <w:tab w:val="left" w:pos="360"/>
      </w:tabs>
    </w:pPr>
  </w:style>
  <w:style w:type="paragraph" w:customStyle="1" w:styleId="106">
    <w:name w:val="附录三级条标题"/>
    <w:basedOn w:val="107"/>
    <w:next w:val="66"/>
    <w:qFormat/>
    <w:uiPriority w:val="0"/>
    <w:pPr>
      <w:tabs>
        <w:tab w:val="left" w:pos="360"/>
      </w:tabs>
    </w:pPr>
  </w:style>
  <w:style w:type="paragraph" w:customStyle="1" w:styleId="107">
    <w:name w:val="附录二级条标题"/>
    <w:basedOn w:val="1"/>
    <w:next w:val="66"/>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8">
    <w:name w:val="附录图标题"/>
    <w:basedOn w:val="1"/>
    <w:next w:val="66"/>
    <w:qFormat/>
    <w:uiPriority w:val="0"/>
    <w:pPr>
      <w:tabs>
        <w:tab w:val="left" w:pos="363"/>
      </w:tabs>
      <w:spacing w:beforeLines="50" w:afterLines="50"/>
      <w:jc w:val="center"/>
    </w:pPr>
    <w:rPr>
      <w:rFonts w:ascii="黑体" w:eastAsia="黑体"/>
      <w:szCs w:val="21"/>
    </w:rPr>
  </w:style>
  <w:style w:type="paragraph" w:customStyle="1" w:styleId="109">
    <w:name w:val="附录图标号"/>
    <w:basedOn w:val="1"/>
    <w:qFormat/>
    <w:uiPriority w:val="0"/>
    <w:pPr>
      <w:keepNext/>
      <w:pageBreakBefore/>
      <w:spacing w:line="14" w:lineRule="exact"/>
      <w:ind w:firstLine="363"/>
      <w:jc w:val="center"/>
      <w:outlineLvl w:val="0"/>
    </w:pPr>
    <w:rPr>
      <w:color w:val="FFFFFF"/>
    </w:rPr>
  </w:style>
  <w:style w:type="paragraph" w:customStyle="1" w:styleId="110">
    <w:name w:val="附录四级无"/>
    <w:basedOn w:val="105"/>
    <w:qFormat/>
    <w:uiPriority w:val="0"/>
    <w:pPr>
      <w:tabs>
        <w:tab w:val="clear" w:pos="360"/>
      </w:tabs>
      <w:spacing w:beforeLines="0" w:afterLines="0"/>
      <w:outlineLvl w:val="5"/>
    </w:pPr>
    <w:rPr>
      <w:rFonts w:ascii="宋体" w:eastAsia="宋体"/>
      <w:szCs w:val="21"/>
    </w:rPr>
  </w:style>
  <w:style w:type="paragraph" w:customStyle="1" w:styleId="111">
    <w:name w:val="附录三级无"/>
    <w:basedOn w:val="106"/>
    <w:qFormat/>
    <w:uiPriority w:val="0"/>
  </w:style>
  <w:style w:type="paragraph" w:customStyle="1" w:styleId="112">
    <w:name w:val="注："/>
    <w:next w:val="66"/>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3">
    <w:name w:val="附录公式编号制表符"/>
    <w:basedOn w:val="1"/>
    <w:next w:val="66"/>
    <w:qFormat/>
    <w:uiPriority w:val="0"/>
    <w:pPr>
      <w:tabs>
        <w:tab w:val="center" w:pos="4201"/>
        <w:tab w:val="right" w:leader="dot" w:pos="9298"/>
      </w:tabs>
      <w:autoSpaceDE w:val="0"/>
      <w:autoSpaceDN w:val="0"/>
    </w:pPr>
    <w:rPr>
      <w:rFonts w:ascii="宋体"/>
      <w:kern w:val="0"/>
      <w:szCs w:val="20"/>
    </w:rPr>
  </w:style>
  <w:style w:type="paragraph" w:customStyle="1" w:styleId="114">
    <w:name w:val="附录二级无"/>
    <w:basedOn w:val="107"/>
    <w:qFormat/>
    <w:uiPriority w:val="0"/>
  </w:style>
  <w:style w:type="paragraph" w:customStyle="1" w:styleId="115">
    <w:name w:val="附录标题"/>
    <w:basedOn w:val="66"/>
    <w:next w:val="66"/>
    <w:qFormat/>
    <w:uiPriority w:val="0"/>
    <w:pPr>
      <w:ind w:firstLine="0" w:firstLineChars="0"/>
      <w:jc w:val="center"/>
    </w:pPr>
    <w:rPr>
      <w:rFonts w:ascii="黑体" w:eastAsia="黑体"/>
    </w:rPr>
  </w:style>
  <w:style w:type="paragraph" w:customStyle="1" w:styleId="116">
    <w:name w:val="参考文献"/>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7">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8">
    <w:name w:val="封面标准文稿类别"/>
    <w:basedOn w:val="79"/>
    <w:qFormat/>
    <w:uiPriority w:val="0"/>
    <w:pPr>
      <w:framePr w:wrap="around"/>
      <w:spacing w:after="160" w:line="240" w:lineRule="auto"/>
    </w:pPr>
    <w:rPr>
      <w:sz w:val="24"/>
    </w:rPr>
  </w:style>
  <w:style w:type="paragraph" w:customStyle="1" w:styleId="119">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0">
    <w:name w:val="其他实施日期"/>
    <w:basedOn w:val="92"/>
    <w:qFormat/>
    <w:uiPriority w:val="0"/>
    <w:pPr>
      <w:framePr w:wrap="around" w:vAnchor="margin" w:hAnchor="page"/>
    </w:pPr>
  </w:style>
  <w:style w:type="paragraph" w:customStyle="1" w:styleId="12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2">
    <w:name w:val="发布部门"/>
    <w:next w:val="66"/>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3">
    <w:name w:val="注：（正文）"/>
    <w:basedOn w:val="112"/>
    <w:next w:val="66"/>
    <w:qFormat/>
    <w:uiPriority w:val="0"/>
  </w:style>
  <w:style w:type="paragraph" w:customStyle="1" w:styleId="124">
    <w:name w:val="参考文献、索引标题"/>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7">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8">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9">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0">
    <w:name w:val="示例×："/>
    <w:basedOn w:val="131"/>
    <w:qFormat/>
    <w:uiPriority w:val="0"/>
    <w:pPr>
      <w:spacing w:beforeLines="0" w:afterLines="0"/>
      <w:ind w:firstLine="363"/>
      <w:outlineLvl w:val="9"/>
    </w:pPr>
    <w:rPr>
      <w:rFonts w:ascii="宋体" w:eastAsia="宋体"/>
      <w:sz w:val="18"/>
      <w:szCs w:val="18"/>
    </w:rPr>
  </w:style>
  <w:style w:type="paragraph" w:customStyle="1" w:styleId="131">
    <w:name w:val="章标题"/>
    <w:next w:val="66"/>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2">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3">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4">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5">
    <w:name w:val="五级无"/>
    <w:basedOn w:val="136"/>
    <w:qFormat/>
    <w:uiPriority w:val="0"/>
    <w:pPr>
      <w:spacing w:beforeLines="0" w:afterLines="0"/>
      <w:outlineLvl w:val="6"/>
    </w:pPr>
    <w:rPr>
      <w:rFonts w:ascii="宋体" w:eastAsia="宋体"/>
    </w:rPr>
  </w:style>
  <w:style w:type="paragraph" w:customStyle="1" w:styleId="136">
    <w:name w:val="五级条标题"/>
    <w:basedOn w:val="137"/>
    <w:next w:val="66"/>
    <w:qFormat/>
    <w:uiPriority w:val="0"/>
  </w:style>
  <w:style w:type="paragraph" w:customStyle="1" w:styleId="137">
    <w:name w:val="四级条标题"/>
    <w:basedOn w:val="138"/>
    <w:next w:val="66"/>
    <w:qFormat/>
    <w:uiPriority w:val="0"/>
  </w:style>
  <w:style w:type="paragraph" w:customStyle="1" w:styleId="138">
    <w:name w:val="三级条标题"/>
    <w:basedOn w:val="139"/>
    <w:next w:val="66"/>
    <w:qFormat/>
    <w:uiPriority w:val="0"/>
  </w:style>
  <w:style w:type="paragraph" w:customStyle="1" w:styleId="139">
    <w:name w:val="二级条标题"/>
    <w:basedOn w:val="72"/>
    <w:next w:val="66"/>
    <w:qFormat/>
    <w:uiPriority w:val="0"/>
  </w:style>
  <w:style w:type="paragraph" w:customStyle="1" w:styleId="140">
    <w:name w:val="四级无"/>
    <w:basedOn w:val="137"/>
    <w:qFormat/>
    <w:uiPriority w:val="0"/>
  </w:style>
  <w:style w:type="paragraph" w:customStyle="1" w:styleId="141">
    <w:name w:val="三级无"/>
    <w:basedOn w:val="138"/>
    <w:qFormat/>
    <w:uiPriority w:val="0"/>
  </w:style>
  <w:style w:type="paragraph" w:customStyle="1" w:styleId="142">
    <w:name w:val="其他标准标志"/>
    <w:basedOn w:val="126"/>
    <w:qFormat/>
    <w:uiPriority w:val="0"/>
    <w:pPr>
      <w:framePr w:w="6101" w:wrap="around" w:vAnchor="page" w:hAnchor="page" w:x="4673" w:y="942"/>
    </w:pPr>
    <w:rPr>
      <w:w w:val="130"/>
    </w:rPr>
  </w:style>
  <w:style w:type="paragraph" w:customStyle="1" w:styleId="143">
    <w:name w:val="目次、标准名称标题"/>
    <w:basedOn w:val="1"/>
    <w:next w:val="66"/>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5">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6">
    <w:name w:val="批注框文本 字符"/>
    <w:basedOn w:val="41"/>
    <w:link w:val="24"/>
    <w:semiHidden/>
    <w:qFormat/>
    <w:uiPriority w:val="99"/>
    <w:rPr>
      <w:rFonts w:ascii="Times New Roman" w:hAnsi="Times New Roman" w:eastAsia="宋体" w:cs="Times New Roman"/>
      <w:sz w:val="18"/>
      <w:szCs w:val="18"/>
    </w:rPr>
  </w:style>
  <w:style w:type="paragraph" w:customStyle="1" w:styleId="147">
    <w:name w:val="列项◆（三级）"/>
    <w:basedOn w:val="1"/>
    <w:qFormat/>
    <w:uiPriority w:val="99"/>
    <w:pPr>
      <w:tabs>
        <w:tab w:val="left" w:pos="969"/>
      </w:tabs>
      <w:ind w:left="969" w:hanging="414"/>
    </w:pPr>
    <w:rPr>
      <w:rFonts w:ascii="宋体"/>
      <w:szCs w:val="21"/>
    </w:rPr>
  </w:style>
  <w:style w:type="paragraph" w:customStyle="1" w:styleId="148">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9">
    <w:name w:val="页眉 字符"/>
    <w:basedOn w:val="41"/>
    <w:link w:val="5"/>
    <w:semiHidden/>
    <w:qFormat/>
    <w:uiPriority w:val="99"/>
    <w:rPr>
      <w:rFonts w:ascii="Times New Roman" w:hAnsi="Times New Roman" w:eastAsia="宋体" w:cs="Times New Roman"/>
      <w:sz w:val="18"/>
      <w:szCs w:val="18"/>
    </w:rPr>
  </w:style>
  <w:style w:type="paragraph" w:customStyle="1" w:styleId="150">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1">
    <w:name w:val="其他发布部门"/>
    <w:basedOn w:val="122"/>
    <w:qFormat/>
    <w:uiPriority w:val="0"/>
    <w:pPr>
      <w:framePr w:wrap="around" w:y="15310"/>
      <w:spacing w:line="0" w:lineRule="atLeast"/>
    </w:pPr>
    <w:rPr>
      <w:rFonts w:ascii="黑体" w:eastAsia="黑体"/>
      <w:b w:val="0"/>
    </w:rPr>
  </w:style>
  <w:style w:type="paragraph" w:customStyle="1" w:styleId="152">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3">
    <w:name w:val="正文图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4">
    <w:name w:val="HTML 预设格式 字符"/>
    <w:basedOn w:val="41"/>
    <w:link w:val="33"/>
    <w:semiHidden/>
    <w:qFormat/>
    <w:uiPriority w:val="99"/>
    <w:rPr>
      <w:rFonts w:ascii="Courier New" w:hAnsi="Courier New" w:eastAsia="宋体" w:cs="Courier New"/>
      <w:sz w:val="20"/>
      <w:szCs w:val="20"/>
    </w:rPr>
  </w:style>
  <w:style w:type="paragraph" w:customStyle="1" w:styleId="155">
    <w:name w:val="附录标识"/>
    <w:basedOn w:val="1"/>
    <w:next w:val="66"/>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6">
    <w:name w:val="脚注文本 字符"/>
    <w:basedOn w:val="41"/>
    <w:link w:val="29"/>
    <w:semiHidden/>
    <w:qFormat/>
    <w:uiPriority w:val="99"/>
    <w:rPr>
      <w:rFonts w:ascii="Times New Roman" w:hAnsi="Times New Roman" w:eastAsia="宋体" w:cs="Times New Roman"/>
      <w:sz w:val="18"/>
      <w:szCs w:val="18"/>
    </w:rPr>
  </w:style>
  <w:style w:type="paragraph" w:customStyle="1" w:styleId="157">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8">
    <w:name w:val="二级无"/>
    <w:basedOn w:val="139"/>
    <w:qFormat/>
    <w:uiPriority w:val="0"/>
  </w:style>
  <w:style w:type="paragraph" w:customStyle="1" w:styleId="159">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0">
    <w:name w:val="正文文本缩进 2 字符"/>
    <w:basedOn w:val="41"/>
    <w:link w:val="22"/>
    <w:semiHidden/>
    <w:qFormat/>
    <w:uiPriority w:val="99"/>
    <w:rPr>
      <w:rFonts w:ascii="Times New Roman" w:hAnsi="Times New Roman" w:eastAsia="宋体" w:cs="Times New Roman"/>
      <w:szCs w:val="24"/>
    </w:rPr>
  </w:style>
  <w:style w:type="paragraph" w:customStyle="1" w:styleId="161">
    <w:name w:val="封面标准文稿编辑信息2"/>
    <w:basedOn w:val="162"/>
    <w:qFormat/>
    <w:uiPriority w:val="0"/>
    <w:pPr>
      <w:framePr w:wrap="around" w:y="4469"/>
    </w:pPr>
  </w:style>
  <w:style w:type="paragraph" w:customStyle="1" w:styleId="162">
    <w:name w:val="封面标准文稿编辑信息"/>
    <w:basedOn w:val="118"/>
    <w:qFormat/>
    <w:uiPriority w:val="0"/>
    <w:pPr>
      <w:framePr w:wrap="around"/>
      <w:spacing w:before="180" w:line="180" w:lineRule="exact"/>
    </w:pPr>
    <w:rPr>
      <w:sz w:val="21"/>
    </w:rPr>
  </w:style>
  <w:style w:type="paragraph" w:customStyle="1" w:styleId="163">
    <w:name w:val="附录表标题"/>
    <w:basedOn w:val="1"/>
    <w:next w:val="66"/>
    <w:qFormat/>
    <w:uiPriority w:val="0"/>
    <w:pPr>
      <w:tabs>
        <w:tab w:val="left" w:pos="180"/>
      </w:tabs>
      <w:spacing w:beforeLines="50" w:afterLines="50"/>
      <w:jc w:val="center"/>
    </w:pPr>
    <w:rPr>
      <w:rFonts w:ascii="黑体" w:eastAsia="黑体"/>
      <w:szCs w:val="21"/>
    </w:rPr>
  </w:style>
  <w:style w:type="paragraph" w:customStyle="1" w:styleId="164">
    <w:name w:val="标准书眉_偶数页"/>
    <w:basedOn w:val="148"/>
    <w:next w:val="1"/>
    <w:qFormat/>
    <w:uiPriority w:val="0"/>
    <w:pPr>
      <w:jc w:val="left"/>
    </w:pPr>
  </w:style>
  <w:style w:type="paragraph" w:customStyle="1" w:styleId="165">
    <w:name w:val="附录表标号"/>
    <w:basedOn w:val="1"/>
    <w:next w:val="66"/>
    <w:qFormat/>
    <w:uiPriority w:val="0"/>
    <w:pPr>
      <w:spacing w:line="14" w:lineRule="exact"/>
      <w:ind w:left="811" w:hanging="448"/>
      <w:jc w:val="center"/>
      <w:outlineLvl w:val="0"/>
    </w:pPr>
    <w:rPr>
      <w:color w:val="FFFFFF"/>
    </w:rPr>
  </w:style>
  <w:style w:type="paragraph" w:customStyle="1" w:styleId="166">
    <w:name w:val="图表脚注说明"/>
    <w:basedOn w:val="1"/>
    <w:qFormat/>
    <w:uiPriority w:val="0"/>
    <w:pPr>
      <w:ind w:left="544" w:hanging="181"/>
    </w:pPr>
    <w:rPr>
      <w:rFonts w:ascii="宋体"/>
      <w:sz w:val="18"/>
      <w:szCs w:val="18"/>
    </w:rPr>
  </w:style>
  <w:style w:type="character" w:customStyle="1" w:styleId="167">
    <w:name w:val="页脚 字符"/>
    <w:basedOn w:val="41"/>
    <w:link w:val="25"/>
    <w:semiHidden/>
    <w:qFormat/>
    <w:uiPriority w:val="99"/>
    <w:rPr>
      <w:rFonts w:ascii="Times New Roman" w:hAnsi="Times New Roman" w:eastAsia="宋体" w:cs="Times New Roman"/>
      <w:sz w:val="18"/>
      <w:szCs w:val="18"/>
    </w:rPr>
  </w:style>
  <w:style w:type="character" w:customStyle="1" w:styleId="168">
    <w:name w:val="批注文字 字符"/>
    <w:basedOn w:val="41"/>
    <w:link w:val="14"/>
    <w:semiHidden/>
    <w:qFormat/>
    <w:uiPriority w:val="0"/>
    <w:rPr>
      <w:rFonts w:ascii="Times New Roman" w:hAnsi="Times New Roman" w:eastAsia="宋体" w:cs="Times New Roman"/>
      <w:szCs w:val="24"/>
    </w:rPr>
  </w:style>
  <w:style w:type="paragraph" w:customStyle="1" w:styleId="169">
    <w:name w:val="封面标准名称2"/>
    <w:basedOn w:val="81"/>
    <w:qFormat/>
    <w:uiPriority w:val="0"/>
    <w:pPr>
      <w:framePr w:wrap="around" w:y="4469"/>
      <w:spacing w:beforeLines="630"/>
    </w:pPr>
  </w:style>
  <w:style w:type="character" w:customStyle="1" w:styleId="170">
    <w:name w:val="日期 字符"/>
    <w:basedOn w:val="41"/>
    <w:link w:val="21"/>
    <w:semiHidden/>
    <w:qFormat/>
    <w:uiPriority w:val="99"/>
    <w:rPr>
      <w:rFonts w:ascii="Times New Roman" w:hAnsi="Times New Roman" w:eastAsia="宋体" w:cs="Times New Roman"/>
      <w:szCs w:val="24"/>
    </w:rPr>
  </w:style>
  <w:style w:type="character" w:customStyle="1" w:styleId="171">
    <w:name w:val="文档结构图 字符"/>
    <w:basedOn w:val="41"/>
    <w:link w:val="13"/>
    <w:semiHidden/>
    <w:qFormat/>
    <w:uiPriority w:val="99"/>
    <w:rPr>
      <w:rFonts w:ascii="宋体" w:hAnsi="Times New Roman" w:eastAsia="宋体" w:cs="Times New Roman"/>
      <w:sz w:val="18"/>
      <w:szCs w:val="18"/>
    </w:rPr>
  </w:style>
  <w:style w:type="paragraph" w:customStyle="1" w:styleId="172">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3">
    <w:name w:val="封面标准文稿类别2"/>
    <w:basedOn w:val="118"/>
    <w:qFormat/>
    <w:uiPriority w:val="0"/>
    <w:pPr>
      <w:framePr w:wrap="around" w:y="4469"/>
    </w:pPr>
  </w:style>
  <w:style w:type="paragraph" w:customStyle="1" w:styleId="174">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5">
    <w:name w:val="终结线"/>
    <w:basedOn w:val="1"/>
    <w:qFormat/>
    <w:uiPriority w:val="0"/>
    <w:pPr>
      <w:framePr w:hSpace="181" w:vSpace="181" w:wrap="around" w:vAnchor="text" w:hAnchor="margin" w:xAlign="center" w:y="285"/>
    </w:pPr>
  </w:style>
  <w:style w:type="character" w:customStyle="1" w:styleId="176">
    <w:name w:val="批注主题 字符"/>
    <w:basedOn w:val="168"/>
    <w:link w:val="37"/>
    <w:semiHidden/>
    <w:qFormat/>
    <w:uiPriority w:val="99"/>
    <w:rPr>
      <w:rFonts w:ascii="Times New Roman" w:hAnsi="Times New Roman" w:eastAsia="宋体" w:cs="Times New Roman"/>
      <w:b/>
      <w:bCs/>
      <w:szCs w:val="24"/>
    </w:rPr>
  </w:style>
  <w:style w:type="character" w:customStyle="1" w:styleId="177">
    <w:name w:val="尾注文本 字符"/>
    <w:basedOn w:val="41"/>
    <w:link w:val="23"/>
    <w:semiHidden/>
    <w:qFormat/>
    <w:uiPriority w:val="99"/>
    <w:rPr>
      <w:rFonts w:ascii="Times New Roman" w:hAnsi="Times New Roman" w:eastAsia="宋体" w:cs="Times New Roman"/>
      <w:szCs w:val="24"/>
    </w:rPr>
  </w:style>
  <w:style w:type="paragraph" w:customStyle="1" w:styleId="178">
    <w:name w:val="示例"/>
    <w:next w:val="129"/>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9">
    <w:name w:val="正文文本 3 字符"/>
    <w:basedOn w:val="41"/>
    <w:link w:val="16"/>
    <w:semiHidden/>
    <w:qFormat/>
    <w:uiPriority w:val="99"/>
    <w:rPr>
      <w:rFonts w:ascii="Times New Roman" w:hAnsi="Times New Roman" w:eastAsia="宋体" w:cs="Times New Roman"/>
      <w:sz w:val="16"/>
      <w:szCs w:val="16"/>
    </w:rPr>
  </w:style>
  <w:style w:type="character" w:customStyle="1" w:styleId="180">
    <w:name w:val="标题 字符"/>
    <w:basedOn w:val="41"/>
    <w:link w:val="36"/>
    <w:qFormat/>
    <w:uiPriority w:val="0"/>
    <w:rPr>
      <w:rFonts w:ascii="Arial" w:hAnsi="Arial" w:eastAsia="宋体" w:cs="Times New Roman"/>
      <w:b/>
      <w:kern w:val="0"/>
      <w:sz w:val="32"/>
      <w:szCs w:val="20"/>
    </w:rPr>
  </w:style>
  <w:style w:type="paragraph" w:customStyle="1" w:styleId="181">
    <w:name w:val="p0"/>
    <w:basedOn w:val="1"/>
    <w:qFormat/>
    <w:uiPriority w:val="0"/>
    <w:pPr>
      <w:spacing w:line="240" w:lineRule="auto"/>
      <w:jc w:val="both"/>
    </w:pPr>
    <w:rPr>
      <w:kern w:val="0"/>
      <w:szCs w:val="21"/>
    </w:rPr>
  </w:style>
  <w:style w:type="character" w:customStyle="1" w:styleId="182">
    <w:name w:val="纯文本 字符"/>
    <w:basedOn w:val="41"/>
    <w:link w:val="19"/>
    <w:qFormat/>
    <w:uiPriority w:val="0"/>
    <w:rPr>
      <w:rFonts w:ascii="宋体" w:hAnsi="Courier New" w:eastAsia="宋体" w:cs="Courier New"/>
      <w:szCs w:val="21"/>
    </w:rPr>
  </w:style>
  <w:style w:type="paragraph" w:customStyle="1" w:styleId="18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4">
    <w:name w:val="正文文本 字符"/>
    <w:basedOn w:val="41"/>
    <w:link w:val="3"/>
    <w:semiHidden/>
    <w:qFormat/>
    <w:uiPriority w:val="99"/>
    <w:rPr>
      <w:kern w:val="2"/>
      <w:sz w:val="21"/>
      <w:szCs w:val="24"/>
    </w:rPr>
  </w:style>
  <w:style w:type="paragraph" w:customStyle="1" w:styleId="185">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6">
    <w:name w:val="标题 4 字符"/>
    <w:basedOn w:val="41"/>
    <w:link w:val="9"/>
    <w:semiHidden/>
    <w:qFormat/>
    <w:uiPriority w:val="9"/>
    <w:rPr>
      <w:rFonts w:asciiTheme="majorHAnsi" w:hAnsiTheme="majorHAnsi" w:eastAsiaTheme="majorEastAsia" w:cstheme="majorBidi"/>
      <w:b/>
      <w:bCs/>
      <w:kern w:val="2"/>
      <w:sz w:val="28"/>
      <w:szCs w:val="28"/>
    </w:rPr>
  </w:style>
  <w:style w:type="paragraph" w:customStyle="1" w:styleId="187">
    <w:name w:val="_Style 2"/>
    <w:basedOn w:val="6"/>
    <w:next w:val="1"/>
    <w:qFormat/>
    <w:uiPriority w:val="0"/>
    <w:pPr>
      <w:spacing w:before="480" w:after="0" w:line="276" w:lineRule="auto"/>
      <w:outlineLvl w:val="9"/>
    </w:pPr>
    <w:rPr>
      <w:rFonts w:ascii="Cambria" w:hAnsi="Cambria"/>
      <w:color w:val="365F91"/>
      <w:kern w:val="0"/>
      <w:sz w:val="28"/>
      <w:szCs w:val="28"/>
    </w:rPr>
  </w:style>
  <w:style w:type="paragraph" w:customStyle="1" w:styleId="188">
    <w:name w:val="WPSOffice手动目录 1"/>
    <w:qFormat/>
    <w:uiPriority w:val="0"/>
    <w:rPr>
      <w:rFonts w:ascii="Times New Roman" w:hAnsi="Times New Roman" w:eastAsia="宋体" w:cs="Times New Roman"/>
      <w:lang w:val="en-US" w:eastAsia="zh-CN" w:bidi="ar-SA"/>
    </w:rPr>
  </w:style>
  <w:style w:type="character" w:customStyle="1" w:styleId="189">
    <w:name w:val="font51"/>
    <w:qFormat/>
    <w:uiPriority w:val="0"/>
    <w:rPr>
      <w:rFonts w:ascii="宋体" w:hAnsi="宋体" w:eastAsia="宋体" w:cs="宋体"/>
      <w:color w:val="000000"/>
      <w:sz w:val="20"/>
      <w:szCs w:val="20"/>
      <w:u w:val="none"/>
    </w:rPr>
  </w:style>
  <w:style w:type="character" w:customStyle="1" w:styleId="190">
    <w:name w:val="font71"/>
    <w:qFormat/>
    <w:uiPriority w:val="0"/>
    <w:rPr>
      <w:rFonts w:hint="eastAsia" w:ascii="宋体" w:hAnsi="宋体" w:eastAsia="宋体" w:cs="宋体"/>
      <w:color w:val="000000"/>
      <w:sz w:val="20"/>
      <w:szCs w:val="20"/>
      <w:u w:val="none"/>
    </w:rPr>
  </w:style>
  <w:style w:type="character" w:customStyle="1" w:styleId="191">
    <w:name w:val="font11"/>
    <w:qFormat/>
    <w:uiPriority w:val="0"/>
    <w:rPr>
      <w:rFonts w:hint="eastAsia" w:ascii="宋体" w:hAnsi="宋体" w:eastAsia="宋体" w:cs="宋体"/>
      <w:b/>
      <w:color w:val="000000"/>
      <w:sz w:val="20"/>
      <w:szCs w:val="20"/>
      <w:u w:val="none"/>
    </w:rPr>
  </w:style>
  <w:style w:type="character" w:customStyle="1" w:styleId="192">
    <w:name w:val="批注文字 字符1"/>
    <w:basedOn w:val="41"/>
    <w:qFormat/>
    <w:uiPriority w:val="99"/>
    <w:rPr>
      <w:rFonts w:asciiTheme="minorHAnsi" w:hAnsiTheme="minorHAnsi" w:eastAsiaTheme="minorEastAsia" w:cstheme="minorBidi"/>
      <w:kern w:val="2"/>
      <w:sz w:val="21"/>
      <w:szCs w:val="24"/>
    </w:rPr>
  </w:style>
  <w:style w:type="paragraph" w:styleId="19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70</Pages>
  <Words>26513</Words>
  <Characters>28094</Characters>
  <Lines>224</Lines>
  <Paragraphs>63</Paragraphs>
  <TotalTime>0</TotalTime>
  <ScaleCrop>false</ScaleCrop>
  <LinksUpToDate>false</LinksUpToDate>
  <CharactersWithSpaces>29902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2023-02-15T14:43:00Z</dcterms:created>
  <dc:creator>杨玲</dc:creator>
  <cp:lastModifiedBy>战地残阳断刃血淌</cp:lastModifiedBy>
  <cp:lastPrinted>2021-10-09T08:35:00Z</cp:lastPrinted>
  <dcterms:modified xsi:type="dcterms:W3CDTF">2023-05-25T03:48:09Z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3D153DEE1A8941F6AD97EC758EC5708E</vt:lpwstr>
  </property>
</Properties>
</file>