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spacing w:line="360" w:lineRule="auto"/>
        <w:ind w:left="0" w:leftChars="-200" w:hanging="420" w:hangingChars="150"/>
        <w:rPr>
          <w:rFonts w:hint="eastAsia" w:ascii="仿宋" w:hAnsi="仿宋" w:eastAsia="仿宋" w:cs="仿宋"/>
          <w:i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i w:val="0"/>
          <w:color w:val="000000" w:themeColor="text1"/>
          <w:sz w:val="28"/>
          <w:szCs w:val="28"/>
          <w:highlight w:val="none"/>
          <w:lang w:val="en-US" w:eastAsia="zh-CN"/>
          <w14:textFill>
            <w14:solidFill>
              <w14:schemeClr w14:val="tx1"/>
            </w14:solidFill>
          </w14:textFill>
        </w:rPr>
        <w:t>附件1：项目内容</w:t>
      </w:r>
      <w:bookmarkStart w:id="0" w:name="_GoBack"/>
      <w:bookmarkEnd w:id="0"/>
    </w:p>
    <w:p>
      <w:pPr>
        <w:pStyle w:val="2"/>
        <w:numPr>
          <w:ilvl w:val="-1"/>
          <w:numId w:val="0"/>
        </w:numPr>
        <w:spacing w:line="360" w:lineRule="auto"/>
        <w:ind w:left="0" w:leftChars="-200" w:hanging="420" w:hangingChars="150"/>
        <w:rPr>
          <w:rFonts w:hint="eastAsia" w:ascii="仿宋" w:hAnsi="仿宋" w:eastAsia="仿宋" w:cs="仿宋"/>
          <w:i w:val="0"/>
          <w:color w:val="000000" w:themeColor="text1"/>
          <w:sz w:val="28"/>
          <w:szCs w:val="28"/>
          <w:highlight w:val="none"/>
          <w:lang w:val="en-US" w:eastAsia="zh-CN"/>
          <w14:textFill>
            <w14:solidFill>
              <w14:schemeClr w14:val="tx1"/>
            </w14:solidFill>
          </w14:textFill>
        </w:rPr>
      </w:pPr>
    </w:p>
    <w:tbl>
      <w:tblPr>
        <w:tblStyle w:val="8"/>
        <w:tblW w:w="888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2670"/>
        <w:gridCol w:w="153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序号</w:t>
            </w:r>
          </w:p>
        </w:tc>
        <w:tc>
          <w:tcPr>
            <w:tcW w:w="2670" w:type="dxa"/>
          </w:tcPr>
          <w:p>
            <w:pPr>
              <w:pStyle w:val="2"/>
              <w:numPr>
                <w:ilvl w:val="-1"/>
                <w:numId w:val="0"/>
              </w:numPr>
              <w:spacing w:line="360" w:lineRule="auto"/>
              <w:jc w:val="cente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项目名称</w:t>
            </w:r>
          </w:p>
        </w:tc>
        <w:tc>
          <w:tcPr>
            <w:tcW w:w="1530" w:type="dxa"/>
          </w:tcPr>
          <w:p>
            <w:pPr>
              <w:pStyle w:val="2"/>
              <w:numPr>
                <w:ilvl w:val="-1"/>
                <w:numId w:val="0"/>
              </w:numPr>
              <w:spacing w:line="360" w:lineRule="auto"/>
              <w:jc w:val="cente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数量</w:t>
            </w:r>
          </w:p>
        </w:tc>
        <w:tc>
          <w:tcPr>
            <w:tcW w:w="3990" w:type="dxa"/>
          </w:tcPr>
          <w:p>
            <w:pPr>
              <w:pStyle w:val="2"/>
              <w:numPr>
                <w:ilvl w:val="-1"/>
                <w:numId w:val="0"/>
              </w:numPr>
              <w:spacing w:line="360" w:lineRule="auto"/>
              <w:jc w:val="cente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t>1</w:t>
            </w:r>
          </w:p>
        </w:tc>
        <w:tc>
          <w:tcPr>
            <w:tcW w:w="2670" w:type="dxa"/>
          </w:tcPr>
          <w:p>
            <w:pPr>
              <w:pStyle w:val="2"/>
              <w:numPr>
                <w:ilvl w:val="-1"/>
                <w:numId w:val="0"/>
              </w:numPr>
              <w:spacing w:line="360" w:lineRule="auto"/>
              <w:rPr>
                <w:rFonts w:hint="eastAsia" w:ascii="仿宋" w:hAnsi="仿宋" w:eastAsia="仿宋" w:cs="仿宋"/>
                <w:b/>
                <w:bCs/>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i w:val="0"/>
                <w:iCs/>
                <w:color w:val="000000" w:themeColor="text1"/>
                <w:sz w:val="24"/>
                <w:szCs w:val="24"/>
                <w:highlight w:val="none"/>
                <w:shd w:val="clear" w:color="auto" w:fill="FFFFFF"/>
                <w:lang w:eastAsia="zh-CN"/>
                <w14:textFill>
                  <w14:solidFill>
                    <w14:schemeClr w14:val="tx1"/>
                  </w14:solidFill>
                </w14:textFill>
              </w:rPr>
              <w:t>物业服务</w:t>
            </w:r>
          </w:p>
        </w:tc>
        <w:tc>
          <w:tcPr>
            <w:tcW w:w="1530" w:type="dxa"/>
          </w:tcPr>
          <w:p>
            <w:pPr>
              <w:pStyle w:val="2"/>
              <w:numPr>
                <w:ilvl w:val="-1"/>
                <w:numId w:val="0"/>
              </w:numPr>
              <w:spacing w:line="360" w:lineRule="auto"/>
              <w:jc w:val="center"/>
              <w:rPr>
                <w:rFonts w:hint="default"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1.1</w:t>
            </w:r>
          </w:p>
        </w:tc>
        <w:tc>
          <w:tcPr>
            <w:tcW w:w="267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办公楼物业服务</w:t>
            </w:r>
          </w:p>
        </w:tc>
        <w:tc>
          <w:tcPr>
            <w:tcW w:w="1530" w:type="dxa"/>
          </w:tcPr>
          <w:p>
            <w:pPr>
              <w:pStyle w:val="2"/>
              <w:numPr>
                <w:ilvl w:val="-1"/>
                <w:numId w:val="0"/>
              </w:numPr>
              <w:spacing w:line="360" w:lineRule="auto"/>
              <w:jc w:val="center"/>
              <w:rPr>
                <w:rFonts w:hint="default"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1780m2</w:t>
            </w:r>
          </w:p>
        </w:tc>
        <w:tc>
          <w:tcPr>
            <w:tcW w:w="3990" w:type="dxa"/>
          </w:tcPr>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负责公司防汛办公楼（含会议室、礼堂）、工会楼、职工活动中心、门球场及其他公共场所的卫生清扫、化粪池清理，屋面及屋顶排水沟清理，部门办公室室内卫生除外。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1.2</w:t>
            </w:r>
          </w:p>
        </w:tc>
        <w:tc>
          <w:tcPr>
            <w:tcW w:w="267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道路清扫</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23185m2</w:t>
            </w:r>
          </w:p>
        </w:tc>
        <w:tc>
          <w:tcPr>
            <w:tcW w:w="3990" w:type="dxa"/>
          </w:tcPr>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负责公司管理区域内道路的卫生清扫、沟渠清理。道路范围：防汛办公楼大门以内的道路、停车坪，水工船闸经大坝工作桥至老子弟学校水库周边公路，从大坝岗哨经三栋后至七栋河边公路。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1.3</w:t>
            </w:r>
          </w:p>
        </w:tc>
        <w:tc>
          <w:tcPr>
            <w:tcW w:w="267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员工宿舍物业服务</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5000m2</w:t>
            </w:r>
          </w:p>
        </w:tc>
        <w:tc>
          <w:tcPr>
            <w:tcW w:w="3990" w:type="dxa"/>
          </w:tcPr>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卫生清扫，垃圾清理，公共照明灯完好率90%以上，供水管网完好率100%。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1.4</w:t>
            </w:r>
          </w:p>
        </w:tc>
        <w:tc>
          <w:tcPr>
            <w:tcW w:w="267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职工活动中心卫生服务</w:t>
            </w:r>
          </w:p>
        </w:tc>
        <w:tc>
          <w:tcPr>
            <w:tcW w:w="1530" w:type="dxa"/>
          </w:tcPr>
          <w:p>
            <w:pPr>
              <w:pStyle w:val="2"/>
              <w:numPr>
                <w:ilvl w:val="-1"/>
                <w:numId w:val="0"/>
              </w:numPr>
              <w:spacing w:line="360" w:lineRule="auto"/>
              <w:jc w:val="center"/>
              <w:rPr>
                <w:rFonts w:hint="default"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546㎡</w:t>
            </w:r>
          </w:p>
        </w:tc>
        <w:tc>
          <w:tcPr>
            <w:tcW w:w="3990" w:type="dxa"/>
          </w:tcPr>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按时开放活动中心，及时清扫，保管好活动中心的物品，及时报告中心运动场地与运动器材完备状况，提出修理与补充建议。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1.5</w:t>
            </w:r>
          </w:p>
        </w:tc>
        <w:tc>
          <w:tcPr>
            <w:tcW w:w="2670" w:type="dxa"/>
          </w:tcPr>
          <w:p>
            <w:pPr>
              <w:pStyle w:val="2"/>
              <w:numPr>
                <w:ilvl w:val="-1"/>
                <w:numId w:val="0"/>
              </w:numPr>
              <w:spacing w:line="360" w:lineRule="auto"/>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重大会务服务</w:t>
            </w:r>
          </w:p>
        </w:tc>
        <w:tc>
          <w:tcPr>
            <w:tcW w:w="1530" w:type="dxa"/>
          </w:tcPr>
          <w:p>
            <w:pPr>
              <w:pStyle w:val="2"/>
              <w:numPr>
                <w:ilvl w:val="-1"/>
                <w:numId w:val="0"/>
              </w:numPr>
              <w:spacing w:line="360" w:lineRule="auto"/>
              <w:jc w:val="center"/>
              <w:rPr>
                <w:rFonts w:hint="default"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场地清扫，会堂布置，茶水服务。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vertAlign w:val="baseline"/>
                <w:lang w:val="en-US" w:eastAsia="zh-CN"/>
                <w14:textFill>
                  <w14:solidFill>
                    <w14:schemeClr w14:val="tx1"/>
                  </w14:solidFill>
                </w14:textFill>
              </w:rPr>
              <w:t>1.6</w:t>
            </w:r>
          </w:p>
        </w:tc>
        <w:tc>
          <w:tcPr>
            <w:tcW w:w="2670" w:type="dxa"/>
          </w:tcPr>
          <w:p>
            <w:pPr>
              <w:pStyle w:val="2"/>
              <w:numPr>
                <w:ilvl w:val="-1"/>
                <w:numId w:val="0"/>
              </w:numPr>
              <w:spacing w:line="360" w:lineRule="auto"/>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其他</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left"/>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负责物业服务的档案管理及根据相关政策由物业管理公司管理的其他事项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t>2</w:t>
            </w:r>
          </w:p>
        </w:tc>
        <w:tc>
          <w:tcPr>
            <w:tcW w:w="2670" w:type="dxa"/>
          </w:tcPr>
          <w:p>
            <w:pPr>
              <w:pStyle w:val="2"/>
              <w:numPr>
                <w:ilvl w:val="-1"/>
                <w:numId w:val="0"/>
              </w:numPr>
              <w:spacing w:line="360" w:lineRule="auto"/>
              <w:rPr>
                <w:rFonts w:hint="eastAsia" w:ascii="仿宋" w:hAnsi="仿宋" w:eastAsia="仿宋" w:cs="仿宋"/>
                <w:b/>
                <w:bCs/>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bCs/>
                <w:i w:val="0"/>
                <w:iCs/>
                <w:color w:val="000000" w:themeColor="text1"/>
                <w:sz w:val="24"/>
                <w:szCs w:val="24"/>
                <w:highlight w:val="none"/>
                <w:shd w:val="clear" w:color="auto" w:fill="FFFFFF"/>
                <w:lang w:eastAsia="zh-CN"/>
                <w14:textFill>
                  <w14:solidFill>
                    <w14:schemeClr w14:val="tx1"/>
                  </w14:solidFill>
                </w14:textFill>
              </w:rPr>
              <w:t>垃圾转运</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left"/>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负责垃圾清运至娄底市垃圾场。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t>3</w:t>
            </w:r>
          </w:p>
        </w:tc>
        <w:tc>
          <w:tcPr>
            <w:tcW w:w="2670" w:type="dxa"/>
          </w:tcPr>
          <w:p>
            <w:pPr>
              <w:pStyle w:val="2"/>
              <w:numPr>
                <w:ilvl w:val="-1"/>
                <w:numId w:val="0"/>
              </w:numPr>
              <w:spacing w:line="360" w:lineRule="auto"/>
              <w:rPr>
                <w:rFonts w:hint="eastAsia" w:ascii="仿宋" w:hAnsi="仿宋" w:eastAsia="仿宋" w:cs="仿宋"/>
                <w:b/>
                <w:bCs/>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bCs/>
                <w:i w:val="0"/>
                <w:iCs/>
                <w:color w:val="000000" w:themeColor="text1"/>
                <w:sz w:val="24"/>
                <w:szCs w:val="24"/>
                <w:highlight w:val="none"/>
                <w:shd w:val="clear" w:color="auto" w:fill="FFFFFF"/>
                <w:lang w:eastAsia="zh-CN"/>
                <w14:textFill>
                  <w14:solidFill>
                    <w14:schemeClr w14:val="tx1"/>
                  </w14:solidFill>
                </w14:textFill>
              </w:rPr>
              <w:t>绿化维护</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left"/>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负责公司管理区域公用绿地、花木、建筑小品等的养护、管理。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t>4</w:t>
            </w:r>
          </w:p>
        </w:tc>
        <w:tc>
          <w:tcPr>
            <w:tcW w:w="2670" w:type="dxa"/>
          </w:tcPr>
          <w:p>
            <w:pPr>
              <w:pStyle w:val="2"/>
              <w:numPr>
                <w:ilvl w:val="-1"/>
                <w:numId w:val="0"/>
              </w:numPr>
              <w:spacing w:line="360" w:lineRule="auto"/>
              <w:rPr>
                <w:rFonts w:hint="eastAsia" w:ascii="仿宋" w:hAnsi="仿宋" w:eastAsia="仿宋" w:cs="仿宋"/>
                <w:b/>
                <w:bCs/>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bCs/>
                <w:i w:val="0"/>
                <w:iCs/>
                <w:color w:val="000000" w:themeColor="text1"/>
                <w:sz w:val="24"/>
                <w:szCs w:val="24"/>
                <w:highlight w:val="none"/>
                <w:shd w:val="clear" w:color="auto" w:fill="FFFFFF"/>
                <w:lang w:val="en-US" w:eastAsia="zh-CN"/>
                <w14:textFill>
                  <w14:solidFill>
                    <w14:schemeClr w14:val="tx1"/>
                  </w14:solidFill>
                </w14:textFill>
              </w:rPr>
              <w:t>水电维护</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left"/>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负责公司管理区域内的公共照明的维护与管理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pStyle w:val="2"/>
              <w:numPr>
                <w:ilvl w:val="-1"/>
                <w:numId w:val="0"/>
              </w:numPr>
              <w:spacing w:line="360" w:lineRule="auto"/>
              <w:jc w:val="center"/>
              <w:rPr>
                <w:rFonts w:hint="default"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i w:val="0"/>
                <w:color w:val="000000" w:themeColor="text1"/>
                <w:sz w:val="24"/>
                <w:szCs w:val="24"/>
                <w:highlight w:val="none"/>
                <w:vertAlign w:val="baseline"/>
                <w:lang w:val="en-US" w:eastAsia="zh-CN"/>
                <w14:textFill>
                  <w14:solidFill>
                    <w14:schemeClr w14:val="tx1"/>
                  </w14:solidFill>
                </w14:textFill>
              </w:rPr>
              <w:t>5</w:t>
            </w:r>
          </w:p>
        </w:tc>
        <w:tc>
          <w:tcPr>
            <w:tcW w:w="2670" w:type="dxa"/>
          </w:tcPr>
          <w:p>
            <w:pPr>
              <w:pStyle w:val="2"/>
              <w:numPr>
                <w:ilvl w:val="-1"/>
                <w:numId w:val="0"/>
              </w:numPr>
              <w:spacing w:line="360" w:lineRule="auto"/>
              <w:rPr>
                <w:rFonts w:hint="eastAsia" w:ascii="仿宋" w:hAnsi="仿宋" w:eastAsia="仿宋" w:cs="仿宋"/>
                <w:b/>
                <w:bCs/>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bCs/>
                <w:i w:val="0"/>
                <w:iCs/>
                <w:color w:val="000000" w:themeColor="text1"/>
                <w:sz w:val="24"/>
                <w:szCs w:val="24"/>
                <w:highlight w:val="none"/>
                <w:shd w:val="clear" w:color="auto" w:fill="FFFFFF"/>
                <w:lang w:val="en-US" w:eastAsia="zh-CN"/>
                <w14:textFill>
                  <w14:solidFill>
                    <w14:schemeClr w14:val="tx1"/>
                  </w14:solidFill>
                </w14:textFill>
              </w:rPr>
              <w:t>安保</w:t>
            </w:r>
          </w:p>
        </w:tc>
        <w:tc>
          <w:tcPr>
            <w:tcW w:w="1530" w:type="dxa"/>
          </w:tcPr>
          <w:p>
            <w:pPr>
              <w:pStyle w:val="2"/>
              <w:numPr>
                <w:ilvl w:val="-1"/>
                <w:numId w:val="0"/>
              </w:numPr>
              <w:spacing w:line="360" w:lineRule="auto"/>
              <w:jc w:val="cente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i w:val="0"/>
                <w:iCs/>
                <w:color w:val="000000" w:themeColor="text1"/>
                <w:sz w:val="24"/>
                <w:szCs w:val="24"/>
                <w:highlight w:val="none"/>
                <w:vertAlign w:val="baseline"/>
                <w:lang w:val="en-US" w:eastAsia="zh-CN"/>
                <w14:textFill>
                  <w14:solidFill>
                    <w14:schemeClr w14:val="tx1"/>
                  </w14:solidFill>
                </w14:textFill>
              </w:rPr>
              <w:t>1项</w:t>
            </w:r>
          </w:p>
        </w:tc>
        <w:tc>
          <w:tcPr>
            <w:tcW w:w="3990" w:type="dxa"/>
          </w:tcPr>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1.</w:t>
            </w:r>
            <w:r>
              <w:rPr>
                <w:rFonts w:hint="eastAsia" w:ascii="仿宋" w:hAnsi="仿宋" w:eastAsia="仿宋" w:cs="仿宋"/>
                <w:b w:val="0"/>
                <w:bCs w:val="0"/>
                <w:i w:val="0"/>
                <w:iCs/>
                <w:color w:val="000000" w:themeColor="text1"/>
                <w:sz w:val="24"/>
                <w:szCs w:val="24"/>
                <w:highlight w:val="none"/>
                <w:shd w:val="clear" w:color="auto" w:fill="FFFFFF"/>
                <w:lang w:eastAsia="zh-CN"/>
                <w14:textFill>
                  <w14:solidFill>
                    <w14:schemeClr w14:val="tx1"/>
                  </w14:solidFill>
                </w14:textFill>
              </w:rPr>
              <w:t>负责公司</w:t>
            </w: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管理区域</w:t>
            </w:r>
            <w:r>
              <w:rPr>
                <w:rFonts w:hint="eastAsia" w:ascii="仿宋" w:hAnsi="仿宋" w:eastAsia="仿宋" w:cs="仿宋"/>
                <w:b w:val="0"/>
                <w:bCs w:val="0"/>
                <w:i w:val="0"/>
                <w:iCs/>
                <w:color w:val="000000" w:themeColor="text1"/>
                <w:sz w:val="24"/>
                <w:szCs w:val="24"/>
                <w:highlight w:val="none"/>
                <w:shd w:val="clear" w:color="auto" w:fill="FFFFFF"/>
                <w:lang w:eastAsia="zh-CN"/>
                <w14:textFill>
                  <w14:solidFill>
                    <w14:schemeClr w14:val="tx1"/>
                  </w14:solidFill>
                </w14:textFill>
              </w:rPr>
              <w:t>的安全巡视、门岗值勤、安全监控、人员车辆出入登记。</w:t>
            </w:r>
          </w:p>
          <w:p>
            <w:pPr>
              <w:pStyle w:val="2"/>
              <w:numPr>
                <w:ilvl w:val="-1"/>
                <w:numId w:val="0"/>
              </w:numPr>
              <w:spacing w:line="360" w:lineRule="auto"/>
              <w:jc w:val="left"/>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2.</w:t>
            </w:r>
            <w:r>
              <w:rPr>
                <w:rFonts w:hint="eastAsia" w:ascii="仿宋" w:hAnsi="仿宋" w:eastAsia="仿宋" w:cs="仿宋"/>
                <w:b w:val="0"/>
                <w:bCs w:val="0"/>
                <w:i w:val="0"/>
                <w:iCs/>
                <w:color w:val="000000" w:themeColor="text1"/>
                <w:sz w:val="24"/>
                <w:szCs w:val="24"/>
                <w:highlight w:val="none"/>
                <w:shd w:val="clear" w:color="auto" w:fill="FFFFFF"/>
                <w:lang w:eastAsia="zh-CN"/>
                <w14:textFill>
                  <w14:solidFill>
                    <w14:schemeClr w14:val="tx1"/>
                  </w14:solidFill>
                </w14:textFill>
              </w:rPr>
              <w:t>负责公司管理区域内车辆行驶及停泊</w:t>
            </w:r>
            <w:r>
              <w:rPr>
                <w:rFonts w:hint="eastAsia" w:ascii="仿宋" w:hAnsi="仿宋" w:eastAsia="仿宋" w:cs="仿宋"/>
                <w:b w:val="0"/>
                <w:bCs w:val="0"/>
                <w:i w:val="0"/>
                <w:iCs/>
                <w:color w:val="000000" w:themeColor="text1"/>
                <w:sz w:val="24"/>
                <w:szCs w:val="24"/>
                <w:highlight w:val="none"/>
                <w:shd w:val="clear" w:color="auto" w:fill="FFFFFF"/>
                <w:lang w:val="en-US" w:eastAsia="zh-CN"/>
                <w14:textFill>
                  <w14:solidFill>
                    <w14:schemeClr w14:val="tx1"/>
                  </w14:solidFill>
                </w14:textFill>
              </w:rPr>
              <w:t>管理</w:t>
            </w:r>
          </w:p>
        </w:tc>
      </w:tr>
    </w:tbl>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84CD2"/>
    <w:rsid w:val="020D4A40"/>
    <w:rsid w:val="023C0830"/>
    <w:rsid w:val="06464823"/>
    <w:rsid w:val="06B7197B"/>
    <w:rsid w:val="0A2A7244"/>
    <w:rsid w:val="152B64EF"/>
    <w:rsid w:val="181E1D8C"/>
    <w:rsid w:val="1C593727"/>
    <w:rsid w:val="1ECF123F"/>
    <w:rsid w:val="1FE03ED4"/>
    <w:rsid w:val="20481BD0"/>
    <w:rsid w:val="25C707D4"/>
    <w:rsid w:val="25E96862"/>
    <w:rsid w:val="2604245F"/>
    <w:rsid w:val="2A260C83"/>
    <w:rsid w:val="2B0C050B"/>
    <w:rsid w:val="2FA31521"/>
    <w:rsid w:val="310374D3"/>
    <w:rsid w:val="31542340"/>
    <w:rsid w:val="31DA4E78"/>
    <w:rsid w:val="353466B7"/>
    <w:rsid w:val="398E228D"/>
    <w:rsid w:val="3B27558D"/>
    <w:rsid w:val="3C1063EF"/>
    <w:rsid w:val="3D895A19"/>
    <w:rsid w:val="3F237558"/>
    <w:rsid w:val="42F733B2"/>
    <w:rsid w:val="48F6476A"/>
    <w:rsid w:val="4FCF5A82"/>
    <w:rsid w:val="55A04792"/>
    <w:rsid w:val="57A77241"/>
    <w:rsid w:val="5ADF17BD"/>
    <w:rsid w:val="5D5422E3"/>
    <w:rsid w:val="5DBF0372"/>
    <w:rsid w:val="5E321841"/>
    <w:rsid w:val="5E41479D"/>
    <w:rsid w:val="5F617A09"/>
    <w:rsid w:val="603B3A29"/>
    <w:rsid w:val="646B22AA"/>
    <w:rsid w:val="68E875F9"/>
    <w:rsid w:val="68FF00ED"/>
    <w:rsid w:val="6B3F4E81"/>
    <w:rsid w:val="6E207F82"/>
    <w:rsid w:val="70CA3217"/>
    <w:rsid w:val="72644489"/>
    <w:rsid w:val="74372273"/>
    <w:rsid w:val="767B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TML Address"/>
    <w:basedOn w:val="1"/>
    <w:qFormat/>
    <w:uiPriority w:val="0"/>
    <w:rPr>
      <w:i/>
    </w:r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4"/>
    <w:qFormat/>
    <w:uiPriority w:val="0"/>
    <w:pPr>
      <w:spacing w:after="120" w:afterLines="0" w:line="360" w:lineRule="auto"/>
      <w:ind w:left="420" w:leftChars="200"/>
    </w:pPr>
    <w:rPr>
      <w:sz w:val="28"/>
      <w:szCs w:val="2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111"/>
    <w:qFormat/>
    <w:uiPriority w:val="0"/>
    <w:pPr>
      <w:widowControl w:val="0"/>
      <w:suppressAutoHyphens w:val="0"/>
      <w:bidi w:val="0"/>
      <w:spacing w:beforeLines="0" w:afterLines="0"/>
      <w:jc w:val="both"/>
    </w:pPr>
    <w:rPr>
      <w:rFonts w:ascii="Calibri" w:hAnsi="Calibri" w:eastAsia="新宋体" w:cs="Times New Roman"/>
      <w:color w:val="auto"/>
      <w:kern w:val="0"/>
      <w:sz w:val="21"/>
      <w:szCs w:val="24"/>
      <w:lang w:val="en-US" w:eastAsia="zh-CN" w:bidi="hi-IN"/>
    </w:rPr>
  </w:style>
  <w:style w:type="paragraph" w:customStyle="1" w:styleId="12">
    <w:name w:val="正文1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character" w:customStyle="1" w:styleId="13">
    <w:name w:val="Internet 链接"/>
    <w:basedOn w:val="9"/>
    <w:unhideWhenUsed/>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2021-12-08T03:32:00Z</dcterms:created>
  <dc:creator>Windows</dc:creator>
  <cp:lastModifiedBy>sxb</cp:lastModifiedBy>
  <cp:lastPrinted>2021-12-19T11:51:00Z</cp:lastPrinted>
  <dcterms:modified xsi:type="dcterms:W3CDTF">2022-01-17T18:17:47Z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244F1632924146889737702185D88DD3</vt:lpwstr>
  </property>
</Properties>
</file>